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1EA1A" w14:textId="3BE7949C" w:rsidR="00A45D70" w:rsidRDefault="0B302ED9" w:rsidP="2E9379FE">
      <w:pPr>
        <w:tabs>
          <w:tab w:val="center" w:pos="4536"/>
          <w:tab w:val="right" w:pos="9072"/>
        </w:tabs>
        <w:spacing w:line="257" w:lineRule="auto"/>
      </w:pPr>
      <w:r w:rsidRPr="003C19E7">
        <w:rPr>
          <w:rFonts w:ascii="Arial" w:eastAsia="Arial" w:hAnsi="Arial" w:cs="Arial"/>
          <w:b/>
          <w:bCs/>
          <w:sz w:val="24"/>
          <w:szCs w:val="24"/>
          <w:lang w:val="de"/>
        </w:rPr>
        <w:t>3GPP TSG-RAN WG4 #10</w:t>
      </w:r>
      <w:r w:rsidR="007102E2">
        <w:rPr>
          <w:rFonts w:ascii="Arial" w:eastAsia="Arial" w:hAnsi="Arial" w:cs="Arial"/>
          <w:b/>
          <w:bCs/>
          <w:sz w:val="24"/>
          <w:szCs w:val="24"/>
          <w:lang w:val="de"/>
        </w:rPr>
        <w:t xml:space="preserve">7                </w:t>
      </w:r>
      <w:r w:rsidRPr="003C19E7">
        <w:rPr>
          <w:rFonts w:ascii="Arial" w:eastAsia="Arial" w:hAnsi="Arial" w:cs="Arial"/>
          <w:b/>
          <w:bCs/>
          <w:sz w:val="24"/>
          <w:szCs w:val="24"/>
          <w:lang w:val="de"/>
        </w:rPr>
        <w:t xml:space="preserve">                                                           </w:t>
      </w:r>
      <w:r w:rsidR="003E5669" w:rsidRPr="003C19E7">
        <w:rPr>
          <w:rFonts w:ascii="Arial" w:hAnsi="Arial" w:cs="Arial"/>
          <w:b/>
        </w:rPr>
        <w:t>R4-230</w:t>
      </w:r>
      <w:r w:rsidR="00875A39">
        <w:rPr>
          <w:rFonts w:ascii="Arial" w:hAnsi="Arial" w:cs="Arial"/>
          <w:b/>
        </w:rPr>
        <w:t>8267</w:t>
      </w:r>
    </w:p>
    <w:p w14:paraId="0CA2BB24" w14:textId="77777777" w:rsidR="007102E2" w:rsidRPr="007102E2" w:rsidRDefault="007102E2" w:rsidP="007102E2">
      <w:pPr>
        <w:tabs>
          <w:tab w:val="center" w:pos="4536"/>
          <w:tab w:val="right" w:pos="9072"/>
        </w:tabs>
        <w:spacing w:line="257" w:lineRule="auto"/>
        <w:rPr>
          <w:rFonts w:ascii="Arial" w:eastAsia="Arial" w:hAnsi="Arial" w:cs="Arial"/>
          <w:b/>
          <w:bCs/>
          <w:sz w:val="24"/>
          <w:szCs w:val="24"/>
        </w:rPr>
      </w:pPr>
      <w:r w:rsidRPr="007102E2">
        <w:rPr>
          <w:rFonts w:ascii="Arial" w:eastAsia="Arial" w:hAnsi="Arial" w:cs="Arial"/>
          <w:b/>
          <w:bCs/>
          <w:sz w:val="24"/>
          <w:szCs w:val="24"/>
        </w:rPr>
        <w:t>Incheon, KR, May 22</w:t>
      </w:r>
      <w:r w:rsidRPr="007102E2">
        <w:rPr>
          <w:rFonts w:ascii="Arial" w:eastAsia="Arial" w:hAnsi="Arial" w:cs="Arial"/>
          <w:b/>
          <w:bCs/>
          <w:sz w:val="24"/>
          <w:szCs w:val="24"/>
          <w:vertAlign w:val="superscript"/>
        </w:rPr>
        <w:t>nd</w:t>
      </w:r>
      <w:r w:rsidRPr="007102E2">
        <w:rPr>
          <w:rFonts w:ascii="Arial" w:eastAsia="Arial" w:hAnsi="Arial" w:cs="Arial"/>
          <w:b/>
          <w:bCs/>
          <w:sz w:val="24"/>
          <w:szCs w:val="24"/>
        </w:rPr>
        <w:t xml:space="preserve"> – May 26</w:t>
      </w:r>
      <w:r w:rsidRPr="007102E2">
        <w:rPr>
          <w:rFonts w:ascii="Arial" w:eastAsia="Arial" w:hAnsi="Arial" w:cs="Arial"/>
          <w:b/>
          <w:bCs/>
          <w:sz w:val="24"/>
          <w:szCs w:val="24"/>
          <w:vertAlign w:val="superscript"/>
        </w:rPr>
        <w:t>th</w:t>
      </w:r>
      <w:r w:rsidRPr="007102E2">
        <w:rPr>
          <w:rFonts w:ascii="Arial" w:eastAsia="Arial" w:hAnsi="Arial" w:cs="Arial"/>
          <w:b/>
          <w:bCs/>
          <w:sz w:val="24"/>
          <w:szCs w:val="24"/>
        </w:rPr>
        <w:t>, 2023</w:t>
      </w:r>
    </w:p>
    <w:p w14:paraId="769789BA" w14:textId="262CB406" w:rsidR="00A45D70" w:rsidRDefault="0B302ED9" w:rsidP="2E9379FE">
      <w:pPr>
        <w:tabs>
          <w:tab w:val="center" w:pos="4536"/>
          <w:tab w:val="right" w:pos="9072"/>
        </w:tabs>
        <w:spacing w:line="257" w:lineRule="auto"/>
      </w:pPr>
      <w:r w:rsidRPr="2E9379FE">
        <w:rPr>
          <w:rFonts w:ascii="Arial" w:eastAsia="Arial" w:hAnsi="Arial" w:cs="Arial"/>
          <w:b/>
          <w:bCs/>
          <w:sz w:val="24"/>
          <w:szCs w:val="24"/>
          <w:lang w:val="de"/>
        </w:rPr>
        <w:t xml:space="preserve"> </w:t>
      </w:r>
    </w:p>
    <w:p w14:paraId="32E892D4" w14:textId="4825C050" w:rsidR="00A45D70" w:rsidRDefault="0B302ED9" w:rsidP="2E9379FE">
      <w:pPr>
        <w:tabs>
          <w:tab w:val="left" w:pos="284"/>
          <w:tab w:val="left" w:pos="568"/>
          <w:tab w:val="left" w:pos="852"/>
          <w:tab w:val="left" w:pos="1136"/>
          <w:tab w:val="left" w:pos="1420"/>
          <w:tab w:val="left" w:pos="1704"/>
          <w:tab w:val="left" w:pos="1988"/>
          <w:tab w:val="left" w:pos="4215"/>
        </w:tabs>
        <w:spacing w:line="257" w:lineRule="auto"/>
        <w:ind w:left="1985" w:hanging="1985"/>
      </w:pPr>
      <w:r w:rsidRPr="2E9379FE">
        <w:rPr>
          <w:rFonts w:ascii="Arial" w:eastAsia="Arial" w:hAnsi="Arial" w:cs="Arial"/>
          <w:b/>
          <w:bCs/>
          <w:color w:val="000000" w:themeColor="text1"/>
          <w:lang w:val="pt-BR"/>
        </w:rPr>
        <w:t>Agenda item:</w:t>
      </w:r>
      <w:r w:rsidR="00A45D70">
        <w:tab/>
      </w:r>
      <w:r w:rsidR="00A45D70">
        <w:tab/>
      </w:r>
      <w:r w:rsidR="00A45D70">
        <w:tab/>
      </w:r>
      <w:r w:rsidR="007102E2" w:rsidRPr="007102E2">
        <w:rPr>
          <w:rFonts w:ascii="Arial" w:eastAsia="Arial" w:hAnsi="Arial" w:cs="Arial"/>
          <w:b/>
          <w:bCs/>
          <w:color w:val="000000" w:themeColor="text1"/>
        </w:rPr>
        <w:t>8.20.2.2.</w:t>
      </w:r>
      <w:r w:rsidR="007102E2">
        <w:rPr>
          <w:rFonts w:ascii="Arial" w:eastAsia="Arial" w:hAnsi="Arial" w:cs="Arial"/>
          <w:b/>
          <w:bCs/>
          <w:color w:val="000000" w:themeColor="text1"/>
        </w:rPr>
        <w:t>4</w:t>
      </w:r>
    </w:p>
    <w:p w14:paraId="25F16D18" w14:textId="5F5CD8BA" w:rsidR="00A45D70" w:rsidRDefault="0B302ED9" w:rsidP="2E9379FE">
      <w:pPr>
        <w:spacing w:line="257" w:lineRule="auto"/>
        <w:ind w:left="1985" w:hanging="1985"/>
      </w:pPr>
      <w:r w:rsidRPr="2E9379FE">
        <w:rPr>
          <w:rFonts w:ascii="Arial" w:eastAsia="Arial" w:hAnsi="Arial" w:cs="Arial"/>
          <w:b/>
          <w:bCs/>
        </w:rPr>
        <w:t>Source:</w:t>
      </w:r>
      <w:r w:rsidR="00A45D70">
        <w:tab/>
      </w:r>
      <w:r w:rsidR="007102E2">
        <w:rPr>
          <w:rFonts w:ascii="Arial" w:eastAsia="Arial" w:hAnsi="Arial" w:cs="Arial"/>
          <w:b/>
          <w:bCs/>
        </w:rPr>
        <w:t>vivo</w:t>
      </w:r>
    </w:p>
    <w:p w14:paraId="7C44A66F" w14:textId="6BBB7BCC" w:rsidR="00A45D70" w:rsidRDefault="0B302ED9" w:rsidP="2E9379FE">
      <w:pPr>
        <w:spacing w:line="257" w:lineRule="auto"/>
        <w:ind w:left="1985" w:hanging="1985"/>
      </w:pPr>
      <w:r w:rsidRPr="2E9379FE">
        <w:rPr>
          <w:rFonts w:ascii="Arial" w:eastAsia="Arial" w:hAnsi="Arial" w:cs="Arial"/>
          <w:b/>
          <w:bCs/>
        </w:rPr>
        <w:t>Title:</w:t>
      </w:r>
      <w:r w:rsidR="00A45D70">
        <w:tab/>
      </w:r>
      <w:r w:rsidR="007102E2" w:rsidRPr="007102E2">
        <w:rPr>
          <w:rFonts w:ascii="Arial" w:eastAsia="Arial" w:hAnsi="Arial" w:cs="Arial"/>
          <w:b/>
          <w:bCs/>
        </w:rPr>
        <w:t>TP to TR 38.858 on Feasibility of FR</w:t>
      </w:r>
      <w:r w:rsidR="007102E2">
        <w:rPr>
          <w:rFonts w:ascii="Arial" w:eastAsia="Arial" w:hAnsi="Arial" w:cs="Arial"/>
          <w:b/>
          <w:bCs/>
        </w:rPr>
        <w:t>2-1</w:t>
      </w:r>
      <w:r w:rsidR="007102E2" w:rsidRPr="007102E2">
        <w:rPr>
          <w:rFonts w:ascii="Arial" w:eastAsia="Arial" w:hAnsi="Arial" w:cs="Arial"/>
          <w:b/>
          <w:bCs/>
        </w:rPr>
        <w:t xml:space="preserve"> UE aspects</w:t>
      </w:r>
    </w:p>
    <w:p w14:paraId="439FFFC8" w14:textId="262CB406" w:rsidR="00A45D70" w:rsidRDefault="0B302ED9" w:rsidP="2E9379FE">
      <w:pPr>
        <w:spacing w:line="257" w:lineRule="auto"/>
        <w:ind w:left="1985" w:hanging="1985"/>
      </w:pPr>
      <w:r w:rsidRPr="2E9379FE">
        <w:rPr>
          <w:rFonts w:ascii="Arial" w:eastAsia="Arial" w:hAnsi="Arial" w:cs="Arial"/>
          <w:b/>
          <w:bCs/>
          <w:color w:val="000000" w:themeColor="text1"/>
        </w:rPr>
        <w:t>Document for:</w:t>
      </w:r>
      <w:r w:rsidR="00A45D70">
        <w:tab/>
      </w:r>
      <w:r w:rsidRPr="2E9379FE">
        <w:rPr>
          <w:rFonts w:ascii="Arial" w:eastAsia="Arial" w:hAnsi="Arial" w:cs="Arial"/>
          <w:b/>
          <w:bCs/>
          <w:color w:val="000000" w:themeColor="text1"/>
        </w:rPr>
        <w:t>Approval</w:t>
      </w:r>
    </w:p>
    <w:p w14:paraId="2DAC417F" w14:textId="262CB406" w:rsidR="00A45D70" w:rsidRDefault="0B302ED9" w:rsidP="2E9379FE">
      <w:pPr>
        <w:pStyle w:val="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25423F40" w14:textId="199A3F79" w:rsidR="007102E2" w:rsidRPr="007102E2" w:rsidRDefault="007102E2" w:rsidP="00875A39">
      <w:pPr>
        <w:spacing w:line="257" w:lineRule="auto"/>
        <w:jc w:val="both"/>
        <w:rPr>
          <w:rFonts w:ascii="Times New Roman" w:eastAsia="Times New Roman" w:hAnsi="Times New Roman" w:cs="Times New Roman"/>
          <w:sz w:val="20"/>
          <w:szCs w:val="20"/>
        </w:rPr>
      </w:pPr>
      <w:r w:rsidRPr="007102E2">
        <w:rPr>
          <w:rFonts w:ascii="Times New Roman" w:eastAsia="Times New Roman" w:hAnsi="Times New Roman" w:cs="Times New Roman"/>
          <w:sz w:val="20"/>
          <w:szCs w:val="20"/>
        </w:rPr>
        <w:t>In RAN4#106bis-e, there was one TP [2] endorsed on feasibility of FR</w:t>
      </w:r>
      <w:r>
        <w:rPr>
          <w:rFonts w:ascii="Times New Roman" w:eastAsia="Times New Roman" w:hAnsi="Times New Roman" w:cs="Times New Roman"/>
          <w:sz w:val="20"/>
          <w:szCs w:val="20"/>
        </w:rPr>
        <w:t>2-</w:t>
      </w:r>
      <w:r w:rsidRPr="007102E2">
        <w:rPr>
          <w:rFonts w:ascii="Times New Roman" w:eastAsia="Times New Roman" w:hAnsi="Times New Roman" w:cs="Times New Roman"/>
          <w:sz w:val="20"/>
          <w:szCs w:val="20"/>
        </w:rPr>
        <w:t>1 UE aspects for TR 38.85</w:t>
      </w:r>
      <w:r>
        <w:rPr>
          <w:rFonts w:ascii="Times New Roman" w:eastAsia="Times New Roman" w:hAnsi="Times New Roman" w:cs="Times New Roman"/>
          <w:sz w:val="20"/>
          <w:szCs w:val="20"/>
        </w:rPr>
        <w:t>8</w:t>
      </w:r>
      <w:r w:rsidRPr="007102E2">
        <w:rPr>
          <w:rFonts w:ascii="Times New Roman" w:eastAsia="Times New Roman" w:hAnsi="Times New Roman" w:cs="Times New Roman"/>
          <w:sz w:val="20"/>
          <w:szCs w:val="20"/>
        </w:rPr>
        <w:t xml:space="preserve"> [1]. However, after reviewing the content for FR</w:t>
      </w:r>
      <w:r>
        <w:rPr>
          <w:rFonts w:ascii="Times New Roman" w:eastAsia="Times New Roman" w:hAnsi="Times New Roman" w:cs="Times New Roman"/>
          <w:sz w:val="20"/>
          <w:szCs w:val="20"/>
        </w:rPr>
        <w:t>2-</w:t>
      </w:r>
      <w:r w:rsidRPr="007102E2">
        <w:rPr>
          <w:rFonts w:ascii="Times New Roman" w:eastAsia="Times New Roman" w:hAnsi="Times New Roman" w:cs="Times New Roman"/>
          <w:sz w:val="20"/>
          <w:szCs w:val="20"/>
        </w:rPr>
        <w:t>1, there was some misalignment with the latest agreement in [3]. In this contribution, we propose some changes based on the endorsed TP [2].</w:t>
      </w:r>
    </w:p>
    <w:p w14:paraId="79813DC2" w14:textId="4D81C3BF" w:rsidR="007102E2" w:rsidRDefault="007102E2" w:rsidP="00875A39">
      <w:pPr>
        <w:spacing w:line="257" w:lineRule="auto"/>
        <w:jc w:val="both"/>
        <w:rPr>
          <w:rFonts w:ascii="Times New Roman" w:eastAsia="Times New Roman" w:hAnsi="Times New Roman" w:cs="Times New Roman"/>
          <w:sz w:val="20"/>
          <w:szCs w:val="20"/>
        </w:rPr>
      </w:pPr>
      <w:r w:rsidRPr="007102E2">
        <w:rPr>
          <w:rFonts w:ascii="Times New Roman" w:eastAsia="Times New Roman" w:hAnsi="Times New Roman" w:cs="Times New Roman"/>
          <w:sz w:val="20"/>
          <w:szCs w:val="20"/>
        </w:rPr>
        <w:t>The reasons for changes are listed as follows:</w:t>
      </w:r>
    </w:p>
    <w:p w14:paraId="063F5879" w14:textId="1ECC5234" w:rsidR="007102E2" w:rsidRDefault="007102E2" w:rsidP="00875A39">
      <w:pPr>
        <w:pStyle w:val="a4"/>
        <w:numPr>
          <w:ilvl w:val="0"/>
          <w:numId w:val="37"/>
        </w:numPr>
        <w:spacing w:line="257" w:lineRule="auto"/>
        <w:jc w:val="both"/>
        <w:rPr>
          <w:rFonts w:ascii="Times New Roman" w:eastAsia="Times New Roman" w:hAnsi="Times New Roman" w:cs="Times New Roman"/>
          <w:sz w:val="20"/>
          <w:szCs w:val="20"/>
        </w:rPr>
      </w:pPr>
      <w:r w:rsidRPr="007102E2">
        <w:rPr>
          <w:rFonts w:ascii="Times New Roman" w:eastAsia="Times New Roman" w:hAnsi="Times New Roman" w:cs="Times New Roman"/>
          <w:sz w:val="20"/>
          <w:szCs w:val="20"/>
        </w:rPr>
        <w:t xml:space="preserve">Noise figure was agreed as 10 </w:t>
      </w:r>
      <w:r w:rsidRPr="0026217B">
        <w:rPr>
          <w:rFonts w:ascii="Times New Roman" w:eastAsia="等线" w:hAnsi="Times New Roman" w:cs="Times New Roman"/>
          <w:sz w:val="20"/>
          <w:szCs w:val="20"/>
          <w:lang w:eastAsia="zh-CN"/>
        </w:rPr>
        <w:t>dB</w:t>
      </w:r>
      <w:r w:rsidRPr="007102E2">
        <w:rPr>
          <w:rFonts w:ascii="Times New Roman" w:eastAsia="Times New Roman" w:hAnsi="Times New Roman" w:cs="Times New Roman"/>
          <w:sz w:val="20"/>
          <w:szCs w:val="20"/>
        </w:rPr>
        <w:t xml:space="preserve"> </w:t>
      </w:r>
      <w:r w:rsidRPr="0026217B">
        <w:rPr>
          <w:rFonts w:ascii="Times New Roman" w:eastAsia="等线" w:hAnsi="Times New Roman" w:cs="Times New Roman"/>
          <w:sz w:val="20"/>
          <w:szCs w:val="20"/>
          <w:lang w:eastAsia="zh-CN"/>
        </w:rPr>
        <w:t>for</w:t>
      </w:r>
      <w:r w:rsidRPr="007102E2">
        <w:rPr>
          <w:rFonts w:ascii="Times New Roman" w:eastAsia="Times New Roman" w:hAnsi="Times New Roman" w:cs="Times New Roman"/>
          <w:sz w:val="20"/>
          <w:szCs w:val="20"/>
        </w:rPr>
        <w:t xml:space="preserve"> </w:t>
      </w:r>
      <w:r w:rsidRPr="0026217B">
        <w:rPr>
          <w:rFonts w:ascii="Times New Roman" w:eastAsia="等线" w:hAnsi="Times New Roman" w:cs="Times New Roman"/>
          <w:sz w:val="20"/>
          <w:szCs w:val="20"/>
          <w:lang w:eastAsia="zh-CN"/>
        </w:rPr>
        <w:t>F</w:t>
      </w:r>
      <w:r w:rsidRPr="007102E2">
        <w:rPr>
          <w:rFonts w:ascii="Times New Roman" w:eastAsia="Times New Roman" w:hAnsi="Times New Roman" w:cs="Times New Roman"/>
          <w:sz w:val="20"/>
          <w:szCs w:val="20"/>
        </w:rPr>
        <w:t>R2-1</w:t>
      </w:r>
      <w:r>
        <w:rPr>
          <w:rFonts w:ascii="Times New Roman" w:eastAsia="Times New Roman" w:hAnsi="Times New Roman" w:cs="Times New Roman"/>
          <w:sz w:val="20"/>
          <w:szCs w:val="20"/>
        </w:rPr>
        <w:t xml:space="preserve"> instead of a range</w:t>
      </w:r>
      <w:r w:rsidRPr="007102E2">
        <w:rPr>
          <w:rFonts w:ascii="Times New Roman" w:eastAsia="Times New Roman" w:hAnsi="Times New Roman" w:cs="Times New Roman"/>
          <w:sz w:val="20"/>
          <w:szCs w:val="20"/>
        </w:rPr>
        <w:t>.</w:t>
      </w:r>
    </w:p>
    <w:p w14:paraId="1F7A4E83" w14:textId="6E3EB5C4" w:rsidR="00974F8E" w:rsidRDefault="00974F8E" w:rsidP="00875A39">
      <w:pPr>
        <w:pStyle w:val="a4"/>
        <w:numPr>
          <w:ilvl w:val="0"/>
          <w:numId w:val="37"/>
        </w:num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Subband selectivity was agreed as 23 dB for FR2-1 and the content needs to be updated.</w:t>
      </w:r>
    </w:p>
    <w:p w14:paraId="76D01922" w14:textId="199222C0" w:rsidR="00974F8E" w:rsidRDefault="00974F8E" w:rsidP="00875A39">
      <w:pPr>
        <w:pStyle w:val="a4"/>
        <w:numPr>
          <w:ilvl w:val="0"/>
          <w:numId w:val="37"/>
        </w:num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Subband selectivity definition needs to align with the agreement in [3]</w:t>
      </w:r>
    </w:p>
    <w:p w14:paraId="164BCF55" w14:textId="215FD600" w:rsidR="00974F8E" w:rsidRPr="0026217B" w:rsidRDefault="00974F8E" w:rsidP="00875A39">
      <w:pPr>
        <w:pStyle w:val="a4"/>
        <w:numPr>
          <w:ilvl w:val="1"/>
          <w:numId w:val="37"/>
        </w:numPr>
        <w:jc w:val="both"/>
        <w:rPr>
          <w:rFonts w:ascii="Times New Roman" w:eastAsia="Times New Roman" w:hAnsi="Times New Roman" w:cs="Times New Roman"/>
          <w:sz w:val="20"/>
          <w:szCs w:val="20"/>
        </w:rPr>
      </w:pPr>
      <w:r w:rsidRPr="00974F8E">
        <w:rPr>
          <w:rFonts w:ascii="Times New Roman" w:eastAsia="Times New Roman" w:hAnsi="Times New Roman" w:cs="Times New Roman"/>
          <w:sz w:val="20"/>
          <w:szCs w:val="20"/>
        </w:rPr>
        <w:t xml:space="preserve">Subband in-channel selectivity is the ratio of the interference power in the assigned downlink </w:t>
      </w:r>
      <w:proofErr w:type="spellStart"/>
      <w:r w:rsidRPr="00974F8E">
        <w:rPr>
          <w:rFonts w:ascii="Times New Roman" w:eastAsia="Times New Roman" w:hAnsi="Times New Roman" w:cs="Times New Roman"/>
          <w:sz w:val="20"/>
          <w:szCs w:val="20"/>
        </w:rPr>
        <w:t>subband</w:t>
      </w:r>
      <w:proofErr w:type="spellEnd"/>
      <w:r w:rsidRPr="00974F8E">
        <w:rPr>
          <w:rFonts w:ascii="Times New Roman" w:eastAsia="Times New Roman" w:hAnsi="Times New Roman" w:cs="Times New Roman"/>
          <w:sz w:val="20"/>
          <w:szCs w:val="20"/>
        </w:rPr>
        <w:t xml:space="preserve"> to the received jammer power in the adjacent uplink </w:t>
      </w:r>
      <w:proofErr w:type="spellStart"/>
      <w:r w:rsidRPr="00974F8E">
        <w:rPr>
          <w:rFonts w:ascii="Times New Roman" w:eastAsia="Times New Roman" w:hAnsi="Times New Roman" w:cs="Times New Roman"/>
          <w:sz w:val="20"/>
          <w:szCs w:val="20"/>
        </w:rPr>
        <w:t>subband</w:t>
      </w:r>
      <w:proofErr w:type="spellEnd"/>
      <w:r w:rsidRPr="00974F8E">
        <w:rPr>
          <w:rFonts w:ascii="Times New Roman" w:eastAsia="Times New Roman" w:hAnsi="Times New Roman" w:cs="Times New Roman"/>
          <w:sz w:val="20"/>
          <w:szCs w:val="20"/>
        </w:rPr>
        <w:t>, as measured after the FFT operation</w:t>
      </w:r>
    </w:p>
    <w:p w14:paraId="79B63A11" w14:textId="77777777" w:rsidR="007102E2" w:rsidRPr="007102E2" w:rsidRDefault="007102E2" w:rsidP="00875A39">
      <w:pPr>
        <w:spacing w:line="257" w:lineRule="auto"/>
        <w:jc w:val="both"/>
        <w:rPr>
          <w:rFonts w:ascii="Times New Roman" w:eastAsia="Times New Roman" w:hAnsi="Times New Roman" w:cs="Times New Roman"/>
          <w:sz w:val="20"/>
          <w:szCs w:val="20"/>
        </w:rPr>
      </w:pPr>
      <w:r w:rsidRPr="007102E2">
        <w:rPr>
          <w:rFonts w:ascii="Times New Roman" w:eastAsia="Times New Roman" w:hAnsi="Times New Roman" w:cs="Times New Roman"/>
          <w:sz w:val="20"/>
          <w:szCs w:val="20"/>
        </w:rPr>
        <w:t>The changes for the TP contents are made with revision marks.</w:t>
      </w:r>
    </w:p>
    <w:p w14:paraId="47D1CC8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5505A544" w14:textId="262CB406" w:rsidR="00A45D70" w:rsidRDefault="0B302ED9" w:rsidP="2E9379FE">
      <w:pPr>
        <w:pStyle w:val="1"/>
      </w:pPr>
      <w:r w:rsidRPr="2E9379FE">
        <w:rPr>
          <w:rFonts w:ascii="Arial" w:eastAsia="Arial" w:hAnsi="Arial" w:cs="Arial"/>
          <w:sz w:val="36"/>
          <w:szCs w:val="36"/>
          <w:lang w:val="en-GB"/>
        </w:rPr>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194584DB" w14:textId="77777777" w:rsidR="007102E2" w:rsidRPr="007102E2" w:rsidRDefault="007102E2" w:rsidP="007102E2">
      <w:pPr>
        <w:numPr>
          <w:ilvl w:val="0"/>
          <w:numId w:val="36"/>
        </w:numPr>
        <w:spacing w:line="257" w:lineRule="auto"/>
        <w:jc w:val="both"/>
        <w:rPr>
          <w:rFonts w:ascii="Calibri" w:eastAsia="Calibri" w:hAnsi="Calibri" w:cs="Calibri"/>
          <w:color w:val="000000" w:themeColor="text1"/>
        </w:rPr>
      </w:pPr>
      <w:bookmarkStart w:id="0" w:name="OLE_LINK12"/>
      <w:bookmarkStart w:id="1" w:name="_Ref101774927"/>
      <w:r w:rsidRPr="007102E2">
        <w:rPr>
          <w:rFonts w:ascii="Calibri" w:eastAsia="Calibri" w:hAnsi="Calibri" w:cs="Calibri"/>
          <w:color w:val="000000" w:themeColor="text1"/>
        </w:rPr>
        <w:t>R4-2302887 3GPP TR 38.858 V0.4.0</w:t>
      </w:r>
    </w:p>
    <w:p w14:paraId="06FE0FBC" w14:textId="77777777" w:rsidR="007102E2" w:rsidRPr="007102E2" w:rsidRDefault="007102E2" w:rsidP="007102E2">
      <w:pPr>
        <w:numPr>
          <w:ilvl w:val="0"/>
          <w:numId w:val="36"/>
        </w:numPr>
        <w:spacing w:line="257" w:lineRule="auto"/>
        <w:jc w:val="both"/>
        <w:rPr>
          <w:rFonts w:ascii="Calibri" w:eastAsia="Calibri" w:hAnsi="Calibri" w:cs="Calibri"/>
          <w:color w:val="000000" w:themeColor="text1"/>
          <w:lang w:val="en-GB"/>
        </w:rPr>
      </w:pPr>
      <w:r w:rsidRPr="007102E2">
        <w:rPr>
          <w:rFonts w:ascii="Calibri" w:eastAsia="Calibri" w:hAnsi="Calibri" w:cs="Calibri"/>
          <w:color w:val="000000" w:themeColor="text1"/>
          <w:lang w:val="en-GB"/>
        </w:rPr>
        <w:t>R4-2305971, TP to TR 38.858 feasibility of and impact on FR2 UE RF requirements, Qualcomm, RAN4#106bis-e.</w:t>
      </w:r>
    </w:p>
    <w:p w14:paraId="6366940B" w14:textId="77777777" w:rsidR="007102E2" w:rsidRPr="007102E2" w:rsidRDefault="007102E2" w:rsidP="007102E2">
      <w:pPr>
        <w:numPr>
          <w:ilvl w:val="0"/>
          <w:numId w:val="36"/>
        </w:numPr>
        <w:spacing w:line="257" w:lineRule="auto"/>
        <w:jc w:val="both"/>
        <w:rPr>
          <w:rFonts w:ascii="Calibri" w:eastAsia="Calibri" w:hAnsi="Calibri" w:cs="Calibri"/>
          <w:color w:val="000000" w:themeColor="text1"/>
        </w:rPr>
      </w:pPr>
      <w:r w:rsidRPr="007102E2">
        <w:rPr>
          <w:rFonts w:ascii="Calibri" w:eastAsia="Calibri" w:hAnsi="Calibri" w:cs="Calibri"/>
          <w:color w:val="000000" w:themeColor="text1"/>
        </w:rPr>
        <w:t>R4-2305969, WF for SBFD feasibility study and requirements impact from UE aspect, Qualcomm, RAN4#106bis-e.</w:t>
      </w:r>
    </w:p>
    <w:bookmarkEnd w:id="0"/>
    <w:bookmarkEnd w:id="1"/>
    <w:p w14:paraId="724FC829"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3445270B" w14:textId="262CB406" w:rsidR="00A45D70" w:rsidRDefault="0B302ED9" w:rsidP="2E9379FE">
      <w:pPr>
        <w:pStyle w:val="1"/>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59FDE648"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lastRenderedPageBreak/>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7102E2" w:rsidRDefault="004B4C27" w:rsidP="004B4C27">
      <w:pPr>
        <w:spacing w:line="257" w:lineRule="auto"/>
        <w:ind w:left="1418" w:hanging="1418"/>
      </w:pPr>
      <w:r w:rsidRPr="0026217B">
        <w:rPr>
          <w:rFonts w:ascii="Arial" w:eastAsia="Arial" w:hAnsi="Arial" w:cs="Arial"/>
          <w:sz w:val="24"/>
          <w:szCs w:val="24"/>
        </w:rPr>
        <w:t>10.7.1.1.1 Receiver aspects</w:t>
      </w:r>
    </w:p>
    <w:p w14:paraId="2BEBAA56" w14:textId="77777777" w:rsidR="004B4C27" w:rsidRPr="007102E2" w:rsidRDefault="004B4C27" w:rsidP="004B4C27">
      <w:pPr>
        <w:spacing w:line="257" w:lineRule="auto"/>
        <w:ind w:left="1418" w:hanging="1418"/>
      </w:pPr>
      <w:r w:rsidRPr="0026217B">
        <w:rPr>
          <w:rFonts w:ascii="Times New Roman" w:eastAsia="Times New Roman" w:hAnsi="Times New Roman" w:cs="Times New Roman"/>
          <w:b/>
          <w:bCs/>
          <w:i/>
          <w:iCs/>
          <w:sz w:val="20"/>
          <w:szCs w:val="20"/>
        </w:rPr>
        <w:t>Existing co-channel UE RX performance requirements</w:t>
      </w:r>
    </w:p>
    <w:p w14:paraId="0AF26815"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For legacy UEs, the current UE RF architecture can be assumed without any RF architecture modification.</w:t>
      </w:r>
    </w:p>
    <w:p w14:paraId="108FA202"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Currently there are no RF requirements for UE co-channel Rx performance. </w:t>
      </w:r>
    </w:p>
    <w:p w14:paraId="7146D8ED"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45FCF0C3" w14:textId="77777777" w:rsidR="004B4C27" w:rsidRPr="007102E2" w:rsidRDefault="004B4C27" w:rsidP="004B4C27">
      <w:pPr>
        <w:spacing w:line="257" w:lineRule="auto"/>
        <w:ind w:left="1418" w:hanging="1418"/>
      </w:pPr>
      <w:r w:rsidRPr="0026217B">
        <w:rPr>
          <w:rFonts w:ascii="Times New Roman" w:eastAsia="Times New Roman" w:hAnsi="Times New Roman" w:cs="Times New Roman"/>
          <w:b/>
          <w:bCs/>
          <w:i/>
          <w:iCs/>
          <w:sz w:val="20"/>
          <w:szCs w:val="20"/>
        </w:rPr>
        <w:t>Sub-band filtering and legacy UEs</w:t>
      </w:r>
    </w:p>
    <w:p w14:paraId="13AD3BA3"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For legacy UEs, no sub-band filtering is implemented, and therefore RAN4 has not assumed any subband filtering. </w:t>
      </w:r>
    </w:p>
    <w:p w14:paraId="77D5AB09"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5B0F7BC4" w14:textId="77777777" w:rsidR="004B4C27" w:rsidRPr="007102E2" w:rsidRDefault="004B4C27" w:rsidP="004B4C27">
      <w:pPr>
        <w:spacing w:line="257" w:lineRule="auto"/>
        <w:ind w:left="1418" w:hanging="1418"/>
      </w:pPr>
      <w:r w:rsidRPr="0026217B">
        <w:rPr>
          <w:rFonts w:ascii="Times New Roman" w:eastAsia="Times New Roman" w:hAnsi="Times New Roman" w:cs="Times New Roman"/>
          <w:b/>
          <w:bCs/>
          <w:i/>
          <w:iCs/>
          <w:sz w:val="20"/>
          <w:szCs w:val="20"/>
        </w:rPr>
        <w:t>Sub-band filtering for a SBFD-aware UEs – UEs with a new feature</w:t>
      </w:r>
    </w:p>
    <w:p w14:paraId="7C0C0603"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SBFD-aware UEs support half duplex operation while receiving the sub-band configuration from the network. For this kind of UE, the RF architecture and applicable RF requirements need further study for future releases. In the present study, legacy UEs are the main focus.</w:t>
      </w:r>
    </w:p>
    <w:p w14:paraId="744F8BEF"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For new SBFD aware UEs, we need further study on whether sub-filtering can be considered or not. The subband/in-channel selectivity needs further study.</w:t>
      </w:r>
    </w:p>
    <w:p w14:paraId="2AB850ED"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 </w:t>
      </w:r>
    </w:p>
    <w:p w14:paraId="7C056CBC" w14:textId="77777777" w:rsidR="004B4C27" w:rsidRPr="007102E2" w:rsidRDefault="004B4C27" w:rsidP="004B4C27">
      <w:pPr>
        <w:spacing w:line="257" w:lineRule="auto"/>
      </w:pPr>
      <w:r w:rsidRPr="007102E2">
        <w:rPr>
          <w:rFonts w:ascii="Times New Roman" w:eastAsia="Times New Roman" w:hAnsi="Times New Roman" w:cs="Times New Roman"/>
          <w:i/>
          <w:iCs/>
          <w:sz w:val="20"/>
          <w:szCs w:val="20"/>
        </w:rPr>
        <w:t>.</w:t>
      </w:r>
    </w:p>
    <w:p w14:paraId="772963ED"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09EB7037" w14:textId="77777777" w:rsidR="004B4C27" w:rsidRPr="007102E2" w:rsidRDefault="004B4C27" w:rsidP="004B4C27">
      <w:pPr>
        <w:spacing w:line="257" w:lineRule="auto"/>
        <w:ind w:left="1418" w:hanging="1418"/>
      </w:pPr>
      <w:r w:rsidRPr="0026217B">
        <w:rPr>
          <w:rFonts w:ascii="Times New Roman" w:eastAsia="Times New Roman" w:hAnsi="Times New Roman" w:cs="Times New Roman"/>
          <w:b/>
          <w:bCs/>
          <w:i/>
          <w:iCs/>
          <w:sz w:val="20"/>
          <w:szCs w:val="20"/>
        </w:rPr>
        <w:t>Thermal self-noise aspects (both adjacent channel and co-channel)</w:t>
      </w:r>
    </w:p>
    <w:p w14:paraId="283C9DDD" w14:textId="2878BEDC"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RAN4 decided on a simple fixed-value noise figure model for the UE receiver. Generally, the receiver noise figure will vary with the input power level, however the single value noise figure model was considered to be sufficient for the purpose of system studies for SBFD. RAN4 </w:t>
      </w:r>
      <w:del w:id="2" w:author="作者">
        <w:r w:rsidRPr="0026217B" w:rsidDel="007102E2">
          <w:rPr>
            <w:rFonts w:ascii="Times New Roman" w:eastAsia="Times New Roman" w:hAnsi="Times New Roman" w:cs="Times New Roman"/>
            <w:sz w:val="20"/>
            <w:szCs w:val="20"/>
          </w:rPr>
          <w:delText xml:space="preserve">decided </w:delText>
        </w:r>
      </w:del>
      <w:ins w:id="3" w:author="作者">
        <w:r w:rsidR="007102E2">
          <w:rPr>
            <w:rFonts w:ascii="Times New Roman" w:eastAsia="Times New Roman" w:hAnsi="Times New Roman" w:cs="Times New Roman"/>
            <w:sz w:val="20"/>
            <w:szCs w:val="20"/>
          </w:rPr>
          <w:t>agreed</w:t>
        </w:r>
        <w:r w:rsidR="007102E2" w:rsidRPr="0026217B">
          <w:rPr>
            <w:rFonts w:ascii="Times New Roman" w:eastAsia="Times New Roman" w:hAnsi="Times New Roman" w:cs="Times New Roman"/>
            <w:sz w:val="20"/>
            <w:szCs w:val="20"/>
          </w:rPr>
          <w:t xml:space="preserve"> </w:t>
        </w:r>
      </w:ins>
      <w:r w:rsidRPr="0026217B">
        <w:rPr>
          <w:rFonts w:ascii="Times New Roman" w:eastAsia="Times New Roman" w:hAnsi="Times New Roman" w:cs="Times New Roman"/>
          <w:sz w:val="20"/>
          <w:szCs w:val="20"/>
        </w:rPr>
        <w:t xml:space="preserve">on a NF of </w:t>
      </w:r>
      <w:del w:id="4" w:author="作者">
        <w:r w:rsidRPr="0026217B" w:rsidDel="007102E2">
          <w:rPr>
            <w:rFonts w:ascii="Times New Roman" w:eastAsia="Times New Roman" w:hAnsi="Times New Roman" w:cs="Times New Roman"/>
            <w:sz w:val="20"/>
            <w:szCs w:val="20"/>
          </w:rPr>
          <w:delText>[7.5 to 10dB]</w:delText>
        </w:r>
      </w:del>
      <w:ins w:id="5" w:author="作者">
        <w:r w:rsidR="007102E2">
          <w:rPr>
            <w:rFonts w:ascii="Times New Roman" w:eastAsia="Times New Roman" w:hAnsi="Times New Roman" w:cs="Times New Roman"/>
            <w:sz w:val="20"/>
            <w:szCs w:val="20"/>
          </w:rPr>
          <w:t xml:space="preserve">10 </w:t>
        </w:r>
        <w:proofErr w:type="spellStart"/>
        <w:r w:rsidR="007102E2">
          <w:rPr>
            <w:rFonts w:ascii="Times New Roman" w:eastAsia="Times New Roman" w:hAnsi="Times New Roman" w:cs="Times New Roman"/>
            <w:sz w:val="20"/>
            <w:szCs w:val="20"/>
          </w:rPr>
          <w:t>dB</w:t>
        </w:r>
      </w:ins>
      <w:r w:rsidRPr="0026217B">
        <w:rPr>
          <w:rFonts w:ascii="Times New Roman" w:eastAsia="Times New Roman" w:hAnsi="Times New Roman" w:cs="Times New Roman"/>
          <w:sz w:val="20"/>
          <w:szCs w:val="20"/>
        </w:rPr>
        <w:t>.</w:t>
      </w:r>
      <w:proofErr w:type="spellEnd"/>
    </w:p>
    <w:p w14:paraId="3880DD62"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42B9D7FC" w14:textId="77777777" w:rsidR="004B4C27" w:rsidRPr="007102E2" w:rsidRDefault="004B4C27" w:rsidP="004B4C27">
      <w:pPr>
        <w:spacing w:line="257" w:lineRule="auto"/>
        <w:ind w:left="1418" w:hanging="1418"/>
      </w:pPr>
      <w:r w:rsidRPr="0026217B">
        <w:rPr>
          <w:rFonts w:ascii="Times New Roman" w:eastAsia="Times New Roman" w:hAnsi="Times New Roman" w:cs="Times New Roman"/>
          <w:b/>
          <w:bCs/>
          <w:i/>
          <w:iCs/>
          <w:sz w:val="20"/>
          <w:szCs w:val="20"/>
        </w:rPr>
        <w:t>Subband in-channel selectivity</w:t>
      </w:r>
    </w:p>
    <w:p w14:paraId="6E9FC126" w14:textId="3A4C5E59"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It is worth noting that the RF degradations can cause inter-subband interference </w:t>
      </w:r>
      <w:r w:rsidRPr="007102E2">
        <w:rPr>
          <w:rFonts w:ascii="Times New Roman" w:eastAsia="Times New Roman" w:hAnsi="Times New Roman" w:cs="Times New Roman"/>
          <w:sz w:val="20"/>
          <w:szCs w:val="20"/>
        </w:rPr>
        <w:t>.</w:t>
      </w:r>
      <w:r w:rsidRPr="0026217B">
        <w:rPr>
          <w:rFonts w:ascii="Times New Roman" w:eastAsia="Times New Roman" w:hAnsi="Times New Roman" w:cs="Times New Roman"/>
          <w:sz w:val="20"/>
          <w:szCs w:val="20"/>
        </w:rPr>
        <w:t xml:space="preserve"> We analyzed the design of the FR2-1 receiver. There are multiple considerations in the receiver design … for example residual sideband, reciprocal mixing, integrated phase noise, IM3 distortion, and ADC distortions. The effect of all these distortions is lumped into a single parameter we call selectivity. </w:t>
      </w:r>
      <w:r w:rsidR="00183DC8" w:rsidRPr="0026217B">
        <w:rPr>
          <w:rFonts w:ascii="Times New Roman" w:eastAsia="Times New Roman" w:hAnsi="Times New Roman" w:cs="Times New Roman"/>
          <w:sz w:val="20"/>
          <w:szCs w:val="20"/>
        </w:rPr>
        <w:t xml:space="preserve">Based on the discussion and analysis from the meeting, </w:t>
      </w:r>
      <w:del w:id="6" w:author="作者">
        <w:r w:rsidR="00183DC8" w:rsidRPr="0026217B" w:rsidDel="00974F8E">
          <w:rPr>
            <w:rFonts w:ascii="Times New Roman" w:eastAsia="Times New Roman" w:hAnsi="Times New Roman" w:cs="Times New Roman"/>
            <w:sz w:val="20"/>
            <w:szCs w:val="20"/>
          </w:rPr>
          <w:delText>contributions suggested possible the sub-band selectivity values from 20 dB to 34 dB.</w:delText>
        </w:r>
      </w:del>
      <w:ins w:id="7" w:author="作者">
        <w:r w:rsidR="00974F8E">
          <w:rPr>
            <w:rFonts w:ascii="Times New Roman" w:eastAsia="Times New Roman" w:hAnsi="Times New Roman" w:cs="Times New Roman"/>
            <w:sz w:val="20"/>
            <w:szCs w:val="20"/>
          </w:rPr>
          <w:t xml:space="preserve">RAN4 agreed to adopt 23 dB as </w:t>
        </w:r>
        <w:proofErr w:type="spellStart"/>
        <w:r w:rsidR="00974F8E">
          <w:rPr>
            <w:rFonts w:ascii="Times New Roman" w:eastAsia="Times New Roman" w:hAnsi="Times New Roman" w:cs="Times New Roman"/>
            <w:sz w:val="20"/>
            <w:szCs w:val="20"/>
          </w:rPr>
          <w:t>subband</w:t>
        </w:r>
        <w:proofErr w:type="spellEnd"/>
        <w:r w:rsidR="00974F8E">
          <w:rPr>
            <w:rFonts w:ascii="Times New Roman" w:eastAsia="Times New Roman" w:hAnsi="Times New Roman" w:cs="Times New Roman"/>
            <w:sz w:val="20"/>
            <w:szCs w:val="20"/>
          </w:rPr>
          <w:t xml:space="preserve"> selectivity for FR2-1.</w:t>
        </w:r>
      </w:ins>
      <w:r w:rsidR="00183DC8" w:rsidRPr="0026217B">
        <w:rPr>
          <w:rFonts w:ascii="Times New Roman" w:eastAsia="Times New Roman" w:hAnsi="Times New Roman" w:cs="Times New Roman"/>
          <w:sz w:val="20"/>
          <w:szCs w:val="20"/>
        </w:rPr>
        <w:t xml:space="preserve"> </w:t>
      </w:r>
      <w:r w:rsidRPr="0026217B">
        <w:rPr>
          <w:rFonts w:ascii="Times New Roman" w:eastAsia="Times New Roman" w:hAnsi="Times New Roman" w:cs="Times New Roman"/>
          <w:sz w:val="20"/>
          <w:szCs w:val="20"/>
        </w:rPr>
        <w:t xml:space="preserve">The receiver performance is simply modelled as being </w:t>
      </w:r>
      <w:del w:id="8" w:author="作者">
        <w:r w:rsidRPr="0026217B" w:rsidDel="00974F8E">
          <w:rPr>
            <w:rFonts w:ascii="Times New Roman" w:eastAsia="Times New Roman" w:hAnsi="Times New Roman" w:cs="Times New Roman"/>
            <w:sz w:val="20"/>
            <w:szCs w:val="20"/>
          </w:rPr>
          <w:delText>[20 to 34 dB]</w:delText>
        </w:r>
      </w:del>
      <w:ins w:id="9" w:author="作者">
        <w:r w:rsidR="00974F8E">
          <w:rPr>
            <w:rFonts w:ascii="Times New Roman" w:eastAsia="Times New Roman" w:hAnsi="Times New Roman" w:cs="Times New Roman"/>
            <w:sz w:val="20"/>
            <w:szCs w:val="20"/>
          </w:rPr>
          <w:t>23 dB</w:t>
        </w:r>
      </w:ins>
      <w:r w:rsidRPr="0026217B">
        <w:rPr>
          <w:rFonts w:ascii="Times New Roman" w:eastAsia="Times New Roman" w:hAnsi="Times New Roman" w:cs="Times New Roman"/>
          <w:sz w:val="20"/>
          <w:szCs w:val="20"/>
        </w:rPr>
        <w:t xml:space="preserve"> below the total input power level Pin. Pin the total power into the receiver, whether it is signal or jammer.</w:t>
      </w:r>
    </w:p>
    <w:p w14:paraId="01C1D082"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The definition of Sub-band/In-channel selectivity is introduced for clarity in the SBFD feasibility study:</w:t>
      </w:r>
    </w:p>
    <w:p w14:paraId="0368CEE4" w14:textId="43C2D58A" w:rsidR="004B4C27" w:rsidRPr="0026217B" w:rsidDel="00974F8E" w:rsidRDefault="00974F8E" w:rsidP="004B4C27">
      <w:pPr>
        <w:pStyle w:val="a4"/>
        <w:numPr>
          <w:ilvl w:val="0"/>
          <w:numId w:val="28"/>
        </w:numPr>
        <w:rPr>
          <w:del w:id="10" w:author="作者"/>
          <w:rFonts w:ascii="Times New Roman" w:eastAsia="Calibri" w:hAnsi="Times New Roman" w:cs="Times New Roman"/>
          <w:i/>
          <w:iCs/>
          <w:sz w:val="20"/>
          <w:szCs w:val="20"/>
        </w:rPr>
      </w:pPr>
      <w:ins w:id="11" w:author="作者">
        <w:r>
          <w:rPr>
            <w:rFonts w:ascii="Times New Roman" w:eastAsia="Calibri" w:hAnsi="Times New Roman" w:cs="Times New Roman"/>
            <w:i/>
            <w:iCs/>
            <w:sz w:val="20"/>
            <w:szCs w:val="20"/>
          </w:rPr>
          <w:t>[</w:t>
        </w:r>
        <w:r w:rsidRPr="00974F8E">
          <w:rPr>
            <w:rFonts w:ascii="Times New Roman" w:eastAsia="Calibri" w:hAnsi="Times New Roman" w:cs="Times New Roman"/>
            <w:i/>
            <w:iCs/>
            <w:sz w:val="20"/>
            <w:szCs w:val="20"/>
          </w:rPr>
          <w:t xml:space="preserve">Subband in-channel selectivity is the ratio of the interference power in the assigned downlink </w:t>
        </w:r>
        <w:proofErr w:type="spellStart"/>
        <w:r w:rsidRPr="00974F8E">
          <w:rPr>
            <w:rFonts w:ascii="Times New Roman" w:eastAsia="Calibri" w:hAnsi="Times New Roman" w:cs="Times New Roman"/>
            <w:i/>
            <w:iCs/>
            <w:sz w:val="20"/>
            <w:szCs w:val="20"/>
          </w:rPr>
          <w:t>subband</w:t>
        </w:r>
        <w:proofErr w:type="spellEnd"/>
        <w:r w:rsidRPr="00974F8E">
          <w:rPr>
            <w:rFonts w:ascii="Times New Roman" w:eastAsia="Calibri" w:hAnsi="Times New Roman" w:cs="Times New Roman"/>
            <w:i/>
            <w:iCs/>
            <w:sz w:val="20"/>
            <w:szCs w:val="20"/>
          </w:rPr>
          <w:t xml:space="preserve"> to the received jammer power in the adjacent uplink </w:t>
        </w:r>
        <w:proofErr w:type="spellStart"/>
        <w:r w:rsidRPr="00974F8E">
          <w:rPr>
            <w:rFonts w:ascii="Times New Roman" w:eastAsia="Calibri" w:hAnsi="Times New Roman" w:cs="Times New Roman"/>
            <w:i/>
            <w:iCs/>
            <w:sz w:val="20"/>
            <w:szCs w:val="20"/>
          </w:rPr>
          <w:t>subband</w:t>
        </w:r>
        <w:proofErr w:type="spellEnd"/>
        <w:r w:rsidRPr="00974F8E">
          <w:rPr>
            <w:rFonts w:ascii="Times New Roman" w:eastAsia="Calibri" w:hAnsi="Times New Roman" w:cs="Times New Roman"/>
            <w:i/>
            <w:iCs/>
            <w:sz w:val="20"/>
            <w:szCs w:val="20"/>
          </w:rPr>
          <w:t>, as measured after the FFT operation</w:t>
        </w:r>
        <w:r>
          <w:rPr>
            <w:rFonts w:ascii="Times New Roman" w:eastAsia="Calibri" w:hAnsi="Times New Roman" w:cs="Times New Roman"/>
            <w:i/>
            <w:iCs/>
            <w:sz w:val="20"/>
            <w:szCs w:val="20"/>
          </w:rPr>
          <w:t>.]</w:t>
        </w:r>
      </w:ins>
      <w:del w:id="12" w:author="作者">
        <w:r w:rsidR="004B4C27" w:rsidRPr="0026217B" w:rsidDel="00974F8E">
          <w:rPr>
            <w:rFonts w:ascii="Times New Roman" w:eastAsia="Calibri" w:hAnsi="Times New Roman" w:cs="Times New Roman"/>
            <w:i/>
            <w:iCs/>
            <w:sz w:val="20"/>
            <w:szCs w:val="20"/>
          </w:rPr>
          <w:delText>Sub-</w:delText>
        </w:r>
        <w:r w:rsidR="004B4C27" w:rsidRPr="0026217B" w:rsidDel="00974F8E">
          <w:rPr>
            <w:rFonts w:ascii="Times New Roman" w:eastAsia="Calibri" w:hAnsi="Times New Roman" w:cs="Times New Roman"/>
            <w:i/>
            <w:iCs/>
            <w:sz w:val="20"/>
            <w:szCs w:val="20"/>
          </w:rPr>
          <w:lastRenderedPageBreak/>
          <w:delText xml:space="preserve">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delText>
        </w:r>
      </w:del>
    </w:p>
    <w:p w14:paraId="66D5B521"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2F929B95" w14:textId="77777777" w:rsidR="004B4C27" w:rsidRPr="007102E2" w:rsidRDefault="004B4C27" w:rsidP="004B4C27">
      <w:pPr>
        <w:spacing w:line="257" w:lineRule="auto"/>
      </w:pPr>
      <w:r w:rsidRPr="0026217B">
        <w:rPr>
          <w:rFonts w:ascii="Times New Roman" w:eastAsia="Times New Roman" w:hAnsi="Times New Roman" w:cs="Times New Roman"/>
          <w:b/>
          <w:bCs/>
          <w:i/>
          <w:iCs/>
          <w:sz w:val="20"/>
          <w:szCs w:val="20"/>
        </w:rPr>
        <w:t>FFT leakage and selectivity</w:t>
      </w:r>
    </w:p>
    <w:p w14:paraId="26675D33"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As in FR1, the FFT leakage aspect is not a dominant factor in the UE receiver, and we do not include any factor for this effect.</w:t>
      </w:r>
    </w:p>
    <w:p w14:paraId="666F3E99"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Jammer frequency and time offset were studied are not significant factors influencing UE-UE interference. </w:t>
      </w:r>
    </w:p>
    <w:p w14:paraId="54C161F3" w14:textId="77777777" w:rsidR="004B4C27" w:rsidRPr="007102E2" w:rsidRDefault="004B4C27" w:rsidP="004B4C27">
      <w:pPr>
        <w:spacing w:line="257" w:lineRule="auto"/>
        <w:ind w:left="1418" w:hanging="1418"/>
      </w:pPr>
      <w:r w:rsidRPr="0026217B">
        <w:rPr>
          <w:rFonts w:ascii="Arial" w:eastAsia="Arial" w:hAnsi="Arial" w:cs="Arial"/>
          <w:sz w:val="24"/>
          <w:szCs w:val="24"/>
        </w:rPr>
        <w:t xml:space="preserve"> </w:t>
      </w:r>
    </w:p>
    <w:p w14:paraId="19D79679" w14:textId="77777777" w:rsidR="004B4C27" w:rsidRPr="007102E2" w:rsidRDefault="004B4C27" w:rsidP="004B4C27">
      <w:pPr>
        <w:spacing w:line="257" w:lineRule="auto"/>
        <w:ind w:left="1418" w:hanging="1418"/>
      </w:pPr>
      <w:r w:rsidRPr="0026217B">
        <w:rPr>
          <w:rFonts w:ascii="Arial" w:eastAsia="Arial" w:hAnsi="Arial" w:cs="Arial"/>
          <w:sz w:val="24"/>
          <w:szCs w:val="24"/>
        </w:rPr>
        <w:t>10.7.1.1.2 Transmitter aspects</w:t>
      </w:r>
    </w:p>
    <w:p w14:paraId="7EB468B5" w14:textId="77777777" w:rsidR="004B4C27" w:rsidRPr="007102E2" w:rsidRDefault="004B4C27" w:rsidP="004B4C27">
      <w:pPr>
        <w:spacing w:line="257" w:lineRule="auto"/>
      </w:pPr>
      <w:r w:rsidRPr="0026217B">
        <w:rPr>
          <w:rFonts w:ascii="Times New Roman" w:eastAsia="Times New Roman" w:hAnsi="Times New Roman" w:cs="Times New Roman"/>
          <w:b/>
          <w:bCs/>
          <w:i/>
          <w:iCs/>
          <w:sz w:val="20"/>
          <w:szCs w:val="20"/>
        </w:rPr>
        <w:t>Inband emissions (co-channel)</w:t>
      </w:r>
    </w:p>
    <w:p w14:paraId="6A21F644"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33F17B20"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520D4E18" w14:textId="1F12A244" w:rsidR="004B4C27" w:rsidRPr="007102E2" w:rsidRDefault="004B4C27" w:rsidP="004B4C27">
      <w:pPr>
        <w:spacing w:line="257" w:lineRule="auto"/>
      </w:pPr>
      <w:r w:rsidRPr="0026217B">
        <w:rPr>
          <w:rFonts w:ascii="Times New Roman" w:eastAsia="Times New Roman" w:hAnsi="Times New Roman" w:cs="Times New Roman"/>
          <w:sz w:val="20"/>
          <w:szCs w:val="20"/>
        </w:rPr>
        <w:t>Analysis indicates that the IBE interference is higher and dominates the sub-band co-channel selectivity</w:t>
      </w:r>
      <w:r w:rsidR="00974F8E">
        <w:rPr>
          <w:rFonts w:ascii="Times New Roman" w:eastAsia="Times New Roman" w:hAnsi="Times New Roman" w:cs="Times New Roman"/>
          <w:sz w:val="20"/>
          <w:szCs w:val="20"/>
        </w:rPr>
        <w:t>.</w:t>
      </w:r>
    </w:p>
    <w:p w14:paraId="6379D5E5"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7102E2" w:rsidRDefault="004B4C27" w:rsidP="004B4C27">
      <w:pPr>
        <w:spacing w:line="257" w:lineRule="auto"/>
      </w:pPr>
      <w:r w:rsidRPr="0026217B">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7102E2" w:rsidRDefault="004B4C27" w:rsidP="004B4C27">
      <w:pPr>
        <w:spacing w:line="257" w:lineRule="auto"/>
        <w:jc w:val="center"/>
      </w:pPr>
      <w:r w:rsidRPr="0026217B">
        <w:rPr>
          <w:rFonts w:ascii="Arial" w:eastAsia="Arial" w:hAnsi="Arial" w:cs="Arial"/>
          <w:b/>
          <w:bCs/>
          <w:sz w:val="20"/>
          <w:szCs w:val="20"/>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4B4C27" w:rsidRPr="0026217B" w14:paraId="7DD09EDA" w14:textId="77777777" w:rsidTr="007B515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7102E2" w:rsidRDefault="004B4C27" w:rsidP="007B515A">
            <w:pPr>
              <w:spacing w:line="257" w:lineRule="auto"/>
              <w:jc w:val="center"/>
            </w:pPr>
            <w:r w:rsidRPr="0026217B">
              <w:rPr>
                <w:rFonts w:ascii="Arial" w:eastAsia="Arial" w:hAnsi="Arial" w:cs="Arial"/>
                <w:b/>
                <w:bCs/>
                <w:sz w:val="18"/>
                <w:szCs w:val="18"/>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7102E2" w:rsidRDefault="004B4C27" w:rsidP="007B515A">
            <w:pPr>
              <w:spacing w:line="257" w:lineRule="auto"/>
              <w:jc w:val="center"/>
            </w:pPr>
            <w:r w:rsidRPr="0026217B">
              <w:rPr>
                <w:rFonts w:ascii="Arial" w:eastAsia="Arial" w:hAnsi="Arial" w:cs="Arial"/>
                <w:b/>
                <w:bCs/>
                <w:sz w:val="18"/>
                <w:szCs w:val="18"/>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7102E2" w:rsidRDefault="004B4C27" w:rsidP="007B515A">
            <w:pPr>
              <w:spacing w:line="257" w:lineRule="auto"/>
              <w:jc w:val="center"/>
            </w:pPr>
            <w:r w:rsidRPr="0026217B">
              <w:rPr>
                <w:rFonts w:ascii="Arial" w:eastAsia="Arial" w:hAnsi="Arial" w:cs="Arial"/>
                <w:b/>
                <w:bCs/>
                <w:sz w:val="18"/>
                <w:szCs w:val="18"/>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7102E2" w:rsidRDefault="004B4C27" w:rsidP="007B515A">
            <w:pPr>
              <w:spacing w:line="257" w:lineRule="auto"/>
              <w:jc w:val="center"/>
            </w:pPr>
            <w:r w:rsidRPr="0026217B">
              <w:rPr>
                <w:rFonts w:ascii="Arial" w:eastAsia="Arial" w:hAnsi="Arial" w:cs="Arial"/>
                <w:b/>
                <w:bCs/>
                <w:sz w:val="18"/>
                <w:szCs w:val="18"/>
              </w:rPr>
              <w:t>Applicable Frequencies</w:t>
            </w:r>
          </w:p>
        </w:tc>
      </w:tr>
      <w:tr w:rsidR="004B4C27" w:rsidRPr="0026217B" w14:paraId="6B1C652F" w14:textId="77777777" w:rsidTr="007B515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7102E2" w:rsidRDefault="004B4C27" w:rsidP="007B515A">
            <w:pPr>
              <w:spacing w:line="257" w:lineRule="auto"/>
              <w:jc w:val="center"/>
            </w:pPr>
            <w:r w:rsidRPr="0026217B">
              <w:rPr>
                <w:rFonts w:ascii="Arial" w:eastAsia="Arial" w:hAnsi="Arial" w:cs="Arial"/>
                <w:b/>
                <w:bCs/>
                <w:sz w:val="18"/>
                <w:szCs w:val="18"/>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7102E2" w:rsidRDefault="004B4C27" w:rsidP="007B515A">
            <w:pPr>
              <w:spacing w:line="257" w:lineRule="auto"/>
              <w:jc w:val="center"/>
            </w:pPr>
            <w:r w:rsidRPr="0026217B">
              <w:rPr>
                <w:rFonts w:ascii="Arial" w:eastAsia="Arial" w:hAnsi="Arial" w:cs="Arial"/>
                <w:sz w:val="18"/>
                <w:szCs w:val="18"/>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7777777" w:rsidR="004B4C27" w:rsidRPr="00974F8E" w:rsidRDefault="004B4C27" w:rsidP="007B515A">
            <w:pPr>
              <w:spacing w:line="257" w:lineRule="auto"/>
              <w:jc w:val="center"/>
            </w:pPr>
            <w:r w:rsidRPr="00974F8E">
              <w:br/>
            </w:r>
          </w:p>
          <w:p w14:paraId="51514B61"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p w14:paraId="36C5A467"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7102E2" w:rsidRDefault="004B4C27" w:rsidP="007B515A">
            <w:pPr>
              <w:spacing w:line="257" w:lineRule="auto"/>
              <w:jc w:val="center"/>
            </w:pPr>
            <w:r w:rsidRPr="0026217B">
              <w:rPr>
                <w:rFonts w:ascii="Arial" w:eastAsia="Arial" w:hAnsi="Arial" w:cs="Arial"/>
                <w:sz w:val="18"/>
                <w:szCs w:val="18"/>
              </w:rPr>
              <w:t>Any non-allocated (NOTE 2)</w:t>
            </w:r>
          </w:p>
        </w:tc>
      </w:tr>
      <w:tr w:rsidR="004B4C27" w:rsidRPr="0026217B" w14:paraId="5EBA5E16"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7102E2" w:rsidRDefault="004B4C27" w:rsidP="007B515A">
            <w:pPr>
              <w:spacing w:line="257" w:lineRule="auto"/>
              <w:jc w:val="center"/>
            </w:pPr>
            <w:r w:rsidRPr="0026217B">
              <w:rPr>
                <w:rFonts w:ascii="Arial" w:eastAsia="Arial" w:hAnsi="Arial" w:cs="Arial"/>
                <w:b/>
                <w:bCs/>
                <w:sz w:val="18"/>
                <w:szCs w:val="18"/>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7102E2" w:rsidRDefault="004B4C27" w:rsidP="007B515A">
            <w:pPr>
              <w:spacing w:line="257" w:lineRule="auto"/>
              <w:jc w:val="center"/>
            </w:pPr>
            <w:r w:rsidRPr="0026217B">
              <w:rPr>
                <w:rFonts w:ascii="Arial" w:eastAsia="Arial" w:hAnsi="Arial" w:cs="Arial"/>
                <w:sz w:val="18"/>
                <w:szCs w:val="18"/>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7102E2" w:rsidRDefault="004B4C27" w:rsidP="007B515A">
            <w:pPr>
              <w:spacing w:line="257" w:lineRule="auto"/>
              <w:jc w:val="center"/>
            </w:pPr>
            <w:r w:rsidRPr="0026217B">
              <w:rPr>
                <w:rFonts w:ascii="Arial" w:eastAsia="Arial" w:hAnsi="Arial" w:cs="Arial"/>
                <w:sz w:val="18"/>
                <w:szCs w:val="18"/>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r>
      <w:tr w:rsidR="004B4C27" w:rsidRPr="0026217B" w14:paraId="0263854C"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7102E2" w:rsidRDefault="004B4C27" w:rsidP="007B515A">
            <w:pPr>
              <w:spacing w:line="257" w:lineRule="auto"/>
              <w:jc w:val="center"/>
            </w:pPr>
            <w:r w:rsidRPr="0026217B">
              <w:rPr>
                <w:rFonts w:ascii="Arial" w:eastAsia="Arial" w:hAnsi="Arial" w:cs="Arial"/>
                <w:b/>
                <w:bCs/>
                <w:sz w:val="18"/>
                <w:szCs w:val="18"/>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7102E2" w:rsidRDefault="004B4C27" w:rsidP="007B515A">
            <w:pPr>
              <w:spacing w:line="257" w:lineRule="auto"/>
              <w:jc w:val="center"/>
            </w:pPr>
            <w:r w:rsidRPr="0026217B">
              <w:rPr>
                <w:rFonts w:ascii="Arial" w:eastAsia="Arial" w:hAnsi="Arial" w:cs="Arial"/>
                <w:sz w:val="18"/>
                <w:szCs w:val="18"/>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7102E2" w:rsidRDefault="004B4C27" w:rsidP="007B515A">
            <w:pPr>
              <w:spacing w:line="257" w:lineRule="auto"/>
              <w:jc w:val="center"/>
            </w:pPr>
            <w:r w:rsidRPr="0026217B">
              <w:rPr>
                <w:rFonts w:ascii="Arial" w:eastAsia="Arial" w:hAnsi="Arial" w:cs="Arial"/>
                <w:sz w:val="18"/>
                <w:szCs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7102E2" w:rsidRDefault="004B4C27" w:rsidP="007B515A">
            <w:pPr>
              <w:spacing w:line="257" w:lineRule="auto"/>
              <w:jc w:val="center"/>
            </w:pPr>
            <w:r w:rsidRPr="0026217B">
              <w:rPr>
                <w:rFonts w:ascii="Arial" w:eastAsia="Arial" w:hAnsi="Arial" w:cs="Arial"/>
                <w:sz w:val="18"/>
                <w:szCs w:val="18"/>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7102E2" w:rsidRDefault="004B4C27" w:rsidP="007B515A">
            <w:pPr>
              <w:spacing w:line="257" w:lineRule="auto"/>
              <w:jc w:val="center"/>
            </w:pPr>
            <w:r w:rsidRPr="0026217B">
              <w:rPr>
                <w:rFonts w:ascii="Arial" w:eastAsia="Arial" w:hAnsi="Arial" w:cs="Arial"/>
                <w:sz w:val="18"/>
                <w:szCs w:val="18"/>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7102E2" w:rsidRDefault="004B4C27" w:rsidP="007B515A">
            <w:pPr>
              <w:spacing w:line="257" w:lineRule="auto"/>
              <w:jc w:val="center"/>
            </w:pPr>
            <w:r w:rsidRPr="0026217B">
              <w:rPr>
                <w:rFonts w:ascii="Arial" w:eastAsia="Arial" w:hAnsi="Arial" w:cs="Arial"/>
                <w:sz w:val="18"/>
                <w:szCs w:val="18"/>
              </w:rPr>
              <w:t>Image frequencies (NOTES 2, 3)</w:t>
            </w:r>
          </w:p>
        </w:tc>
      </w:tr>
      <w:tr w:rsidR="004B4C27" w:rsidRPr="0026217B" w14:paraId="71A2D59D" w14:textId="77777777" w:rsidTr="007B515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7102E2" w:rsidRDefault="004B4C27" w:rsidP="007B515A">
            <w:pPr>
              <w:spacing w:line="257" w:lineRule="auto"/>
              <w:jc w:val="center"/>
            </w:pPr>
            <w:r w:rsidRPr="0026217B">
              <w:rPr>
                <w:rFonts w:ascii="Arial" w:eastAsia="Arial" w:hAnsi="Arial" w:cs="Arial"/>
                <w:b/>
                <w:bCs/>
                <w:sz w:val="18"/>
                <w:szCs w:val="18"/>
              </w:rPr>
              <w:lastRenderedPageBreak/>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7102E2" w:rsidRDefault="004B4C27" w:rsidP="007B515A">
            <w:pPr>
              <w:spacing w:line="257" w:lineRule="auto"/>
              <w:jc w:val="center"/>
            </w:pPr>
            <w:r w:rsidRPr="0026217B">
              <w:rPr>
                <w:rFonts w:ascii="Arial" w:eastAsia="Arial" w:hAnsi="Arial" w:cs="Arial"/>
                <w:sz w:val="18"/>
                <w:szCs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7102E2" w:rsidRDefault="004B4C27" w:rsidP="007B515A">
            <w:pPr>
              <w:spacing w:line="257" w:lineRule="auto"/>
              <w:jc w:val="center"/>
            </w:pPr>
            <w:r w:rsidRPr="0026217B">
              <w:rPr>
                <w:rFonts w:ascii="Arial" w:eastAsia="Arial" w:hAnsi="Arial" w:cs="Arial"/>
                <w:sz w:val="18"/>
                <w:szCs w:val="18"/>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7102E2" w:rsidRDefault="004B4C27" w:rsidP="007B515A">
            <w:pPr>
              <w:spacing w:line="257" w:lineRule="auto"/>
              <w:jc w:val="center"/>
            </w:pPr>
            <w:r w:rsidRPr="0026217B">
              <w:rPr>
                <w:rFonts w:ascii="Arial" w:eastAsia="Arial" w:hAnsi="Arial" w:cs="Arial"/>
                <w:sz w:val="18"/>
                <w:szCs w:val="18"/>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r>
      <w:tr w:rsidR="004B4C27" w:rsidRPr="0026217B" w14:paraId="7E4DCD83" w14:textId="77777777" w:rsidTr="007B515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7102E2" w:rsidRDefault="004B4C27" w:rsidP="007B515A">
            <w:pPr>
              <w:spacing w:line="257" w:lineRule="auto"/>
              <w:jc w:val="center"/>
            </w:pPr>
            <w:r w:rsidRPr="0026217B">
              <w:rPr>
                <w:rFonts w:ascii="Arial" w:eastAsia="Arial" w:hAnsi="Arial" w:cs="Arial"/>
                <w:b/>
                <w:bCs/>
                <w:sz w:val="18"/>
                <w:szCs w:val="18"/>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7102E2" w:rsidRDefault="004B4C27" w:rsidP="007B515A">
            <w:pPr>
              <w:spacing w:line="257" w:lineRule="auto"/>
              <w:jc w:val="center"/>
            </w:pPr>
            <w:r w:rsidRPr="0026217B">
              <w:rPr>
                <w:rFonts w:ascii="Arial" w:eastAsia="Arial" w:hAnsi="Arial" w:cs="Arial"/>
                <w:sz w:val="18"/>
                <w:szCs w:val="18"/>
              </w:rPr>
              <w:t>dBc</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7102E2" w:rsidRDefault="004B4C27" w:rsidP="007B515A">
            <w:pPr>
              <w:spacing w:line="257" w:lineRule="auto"/>
              <w:jc w:val="center"/>
            </w:pPr>
            <w:r w:rsidRPr="0026217B">
              <w:rPr>
                <w:rFonts w:ascii="Arial" w:eastAsia="Arial" w:hAnsi="Arial" w:cs="Arial"/>
                <w:sz w:val="18"/>
                <w:szCs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7102E2" w:rsidRDefault="004B4C27" w:rsidP="007B515A">
            <w:pPr>
              <w:spacing w:line="257" w:lineRule="auto"/>
              <w:jc w:val="center"/>
            </w:pPr>
            <w:r w:rsidRPr="0026217B">
              <w:rPr>
                <w:rFonts w:ascii="Arial" w:eastAsia="Arial" w:hAnsi="Arial" w:cs="Arial"/>
                <w:sz w:val="18"/>
                <w:szCs w:val="18"/>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7102E2" w:rsidRDefault="004B4C27" w:rsidP="007B515A">
            <w:pPr>
              <w:spacing w:line="257" w:lineRule="auto"/>
              <w:jc w:val="center"/>
            </w:pPr>
            <w:r w:rsidRPr="0026217B">
              <w:rPr>
                <w:rFonts w:ascii="Arial" w:eastAsia="Arial" w:hAnsi="Arial" w:cs="Arial"/>
                <w:sz w:val="18"/>
                <w:szCs w:val="18"/>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7102E2" w:rsidRDefault="004B4C27" w:rsidP="007B515A">
            <w:pPr>
              <w:spacing w:line="257" w:lineRule="auto"/>
              <w:jc w:val="center"/>
            </w:pPr>
            <w:r w:rsidRPr="0026217B">
              <w:rPr>
                <w:rFonts w:ascii="Arial" w:eastAsia="Arial" w:hAnsi="Arial" w:cs="Arial"/>
                <w:sz w:val="18"/>
                <w:szCs w:val="18"/>
              </w:rPr>
              <w:t>Carrier frequency (NOTES 4, 5)</w:t>
            </w:r>
          </w:p>
        </w:tc>
      </w:tr>
      <w:tr w:rsidR="004B4C27" w:rsidRPr="0026217B" w14:paraId="3BF1F1B1" w14:textId="77777777" w:rsidTr="007B515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7102E2" w:rsidRDefault="004B4C27" w:rsidP="007B515A">
            <w:pPr>
              <w:spacing w:line="257" w:lineRule="auto"/>
              <w:jc w:val="center"/>
            </w:pPr>
            <w:r w:rsidRPr="0026217B">
              <w:rPr>
                <w:rFonts w:ascii="Arial" w:eastAsia="Arial" w:hAnsi="Arial" w:cs="Arial"/>
                <w:b/>
                <w:bCs/>
                <w:sz w:val="18"/>
                <w:szCs w:val="18"/>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7102E2" w:rsidRDefault="004B4C27" w:rsidP="007B515A">
            <w:pPr>
              <w:spacing w:line="257" w:lineRule="auto"/>
              <w:jc w:val="center"/>
            </w:pPr>
            <w:r w:rsidRPr="0026217B">
              <w:rPr>
                <w:rFonts w:ascii="Arial" w:eastAsia="Arial" w:hAnsi="Arial" w:cs="Arial"/>
                <w:sz w:val="18"/>
                <w:szCs w:val="18"/>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7102E2" w:rsidRDefault="004B4C27" w:rsidP="007B515A">
            <w:pPr>
              <w:spacing w:line="257" w:lineRule="auto"/>
              <w:jc w:val="center"/>
            </w:pPr>
            <w:r w:rsidRPr="0026217B">
              <w:rPr>
                <w:rFonts w:ascii="Arial" w:eastAsia="Arial" w:hAnsi="Arial" w:cs="Arial"/>
                <w:sz w:val="18"/>
                <w:szCs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7102E2" w:rsidRDefault="004B4C27" w:rsidP="007B515A">
            <w:pPr>
              <w:spacing w:line="257" w:lineRule="auto"/>
              <w:jc w:val="center"/>
            </w:pPr>
            <w:r w:rsidRPr="0026217B">
              <w:rPr>
                <w:rFonts w:ascii="Arial" w:eastAsia="Arial" w:hAnsi="Arial" w:cs="Arial"/>
                <w:sz w:val="18"/>
                <w:szCs w:val="18"/>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7102E2" w:rsidRDefault="004B4C27" w:rsidP="007B515A">
            <w:pPr>
              <w:spacing w:line="257" w:lineRule="auto"/>
              <w:jc w:val="center"/>
            </w:pPr>
            <w:r w:rsidRPr="0026217B">
              <w:rPr>
                <w:rFonts w:ascii="Arial" w:eastAsia="Arial" w:hAnsi="Arial" w:cs="Arial"/>
                <w:sz w:val="18"/>
                <w:szCs w:val="18"/>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7102E2" w:rsidRDefault="004B4C27" w:rsidP="007B515A">
            <w:pPr>
              <w:spacing w:line="257" w:lineRule="auto"/>
              <w:jc w:val="center"/>
            </w:pPr>
            <w:r w:rsidRPr="0026217B">
              <w:rPr>
                <w:rFonts w:ascii="Times New Roman" w:eastAsia="Times New Roman" w:hAnsi="Times New Roman" w:cs="Times New Roman"/>
                <w:sz w:val="20"/>
                <w:szCs w:val="20"/>
              </w:rPr>
              <w:t xml:space="preserve"> </w:t>
            </w:r>
          </w:p>
        </w:tc>
      </w:tr>
    </w:tbl>
    <w:p w14:paraId="4BD1D8E9" w14:textId="77777777" w:rsidR="004B4C27" w:rsidRPr="0026217B" w:rsidRDefault="004B4C27" w:rsidP="004B4C27">
      <w:pPr>
        <w:spacing w:line="257" w:lineRule="auto"/>
      </w:pPr>
      <w:r w:rsidRPr="0026217B">
        <w:rPr>
          <w:rFonts w:ascii="Times New Roman" w:eastAsia="Times New Roman" w:hAnsi="Times New Roman" w:cs="Times New Roman"/>
          <w:i/>
          <w:iCs/>
          <w:color w:val="0000FF"/>
          <w:sz w:val="20"/>
          <w:szCs w:val="20"/>
        </w:rPr>
        <w:t xml:space="preserve"> </w:t>
      </w:r>
    </w:p>
    <w:p w14:paraId="4C7B32AB" w14:textId="77777777" w:rsidR="004B4C27" w:rsidRPr="0026217B" w:rsidRDefault="004B4C27" w:rsidP="004B4C27">
      <w:pPr>
        <w:spacing w:line="257" w:lineRule="auto"/>
        <w:ind w:left="1418" w:hanging="1418"/>
      </w:pPr>
      <w:r w:rsidRPr="0026217B">
        <w:rPr>
          <w:rFonts w:ascii="Arial" w:eastAsia="Arial" w:hAnsi="Arial" w:cs="Arial"/>
          <w:sz w:val="24"/>
          <w:szCs w:val="24"/>
        </w:rPr>
        <w:t>10.7.1.2  UE-UE adjacent channel CLI modeling</w:t>
      </w:r>
    </w:p>
    <w:p w14:paraId="24248C51" w14:textId="262CB406" w:rsidR="00A45D70" w:rsidRPr="0026217B" w:rsidRDefault="0B302ED9" w:rsidP="2E9379FE">
      <w:pPr>
        <w:spacing w:line="257" w:lineRule="auto"/>
      </w:pPr>
      <w:r w:rsidRPr="0026217B">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7102E2" w:rsidRDefault="004E01DB" w:rsidP="004E01DB">
      <w:pPr>
        <w:spacing w:line="257" w:lineRule="auto"/>
        <w:ind w:left="1418" w:hanging="1418"/>
      </w:pPr>
      <w:r w:rsidRPr="0026217B">
        <w:rPr>
          <w:rFonts w:ascii="Arial" w:eastAsia="Arial" w:hAnsi="Arial" w:cs="Arial"/>
          <w:sz w:val="24"/>
          <w:szCs w:val="24"/>
        </w:rPr>
        <w:t>10.7.1.2.1 Receiver aspects</w:t>
      </w:r>
    </w:p>
    <w:p w14:paraId="46C34A65" w14:textId="77777777" w:rsidR="004E01DB" w:rsidRPr="007102E2" w:rsidRDefault="004E01DB" w:rsidP="004E01DB">
      <w:pPr>
        <w:spacing w:line="257" w:lineRule="auto"/>
        <w:ind w:left="1418" w:hanging="1418"/>
      </w:pPr>
      <w:r w:rsidRPr="0026217B">
        <w:rPr>
          <w:rFonts w:ascii="Times New Roman" w:eastAsia="Times New Roman" w:hAnsi="Times New Roman" w:cs="Times New Roman"/>
          <w:b/>
          <w:bCs/>
          <w:i/>
          <w:iCs/>
          <w:sz w:val="20"/>
          <w:szCs w:val="20"/>
        </w:rPr>
        <w:t xml:space="preserve">Effect of adjacent channel aggressor UE jammer </w:t>
      </w:r>
    </w:p>
    <w:p w14:paraId="4D09D6AA" w14:textId="31A28DAA" w:rsidR="004E01DB" w:rsidRPr="007102E2" w:rsidRDefault="004E01DB" w:rsidP="004E01DB">
      <w:pPr>
        <w:spacing w:line="257" w:lineRule="auto"/>
      </w:pPr>
      <w:r w:rsidRPr="0026217B">
        <w:rPr>
          <w:rFonts w:ascii="Times New Roman" w:eastAsia="Times New Roman" w:hAnsi="Times New Roman" w:cs="Times New Roman"/>
          <w:sz w:val="20"/>
          <w:szCs w:val="20"/>
        </w:rPr>
        <w:t xml:space="preserve">We analyzed the design of the FR2-1 receiver. There are multiple considerations in the receiver design … for example residual sideband, reciprocal mixing, integrated phase noise, IM3 distortion, and ADC distortions. The receiver performance is simply modelled as being </w:t>
      </w:r>
      <w:del w:id="13" w:author="作者">
        <w:r w:rsidRPr="0026217B" w:rsidDel="00974F8E">
          <w:rPr>
            <w:rFonts w:ascii="Times New Roman" w:eastAsia="Times New Roman" w:hAnsi="Times New Roman" w:cs="Times New Roman"/>
            <w:sz w:val="20"/>
            <w:szCs w:val="20"/>
          </w:rPr>
          <w:delText xml:space="preserve">34 </w:delText>
        </w:r>
      </w:del>
      <w:ins w:id="14" w:author="作者">
        <w:r w:rsidR="00974F8E">
          <w:rPr>
            <w:rFonts w:ascii="Times New Roman" w:eastAsia="Times New Roman" w:hAnsi="Times New Roman" w:cs="Times New Roman"/>
            <w:sz w:val="20"/>
            <w:szCs w:val="20"/>
          </w:rPr>
          <w:t>23</w:t>
        </w:r>
        <w:r w:rsidR="00974F8E" w:rsidRPr="0026217B">
          <w:rPr>
            <w:rFonts w:ascii="Times New Roman" w:eastAsia="Times New Roman" w:hAnsi="Times New Roman" w:cs="Times New Roman"/>
            <w:sz w:val="20"/>
            <w:szCs w:val="20"/>
          </w:rPr>
          <w:t xml:space="preserve"> </w:t>
        </w:r>
      </w:ins>
      <w:r w:rsidRPr="0026217B">
        <w:rPr>
          <w:rFonts w:ascii="Times New Roman" w:eastAsia="Times New Roman" w:hAnsi="Times New Roman" w:cs="Times New Roman"/>
          <w:sz w:val="20"/>
          <w:szCs w:val="20"/>
        </w:rPr>
        <w:t>dB below the total input power level Pin. Pin the total power into the receiver, whether it is signal or jammer.</w:t>
      </w:r>
    </w:p>
    <w:p w14:paraId="0D7D06A9" w14:textId="77777777" w:rsidR="004E01DB" w:rsidRPr="007102E2" w:rsidRDefault="004E01DB" w:rsidP="004E01DB">
      <w:pPr>
        <w:spacing w:line="257" w:lineRule="auto"/>
        <w:ind w:left="1418" w:hanging="1418"/>
      </w:pPr>
      <w:r w:rsidRPr="0026217B">
        <w:rPr>
          <w:rFonts w:ascii="Arial" w:eastAsia="Arial" w:hAnsi="Arial" w:cs="Arial"/>
          <w:sz w:val="24"/>
          <w:szCs w:val="24"/>
        </w:rPr>
        <w:t xml:space="preserve"> </w:t>
      </w:r>
    </w:p>
    <w:p w14:paraId="10753F24" w14:textId="77777777" w:rsidR="004E01DB" w:rsidRPr="007102E2" w:rsidRDefault="004E01DB" w:rsidP="004E01DB">
      <w:pPr>
        <w:spacing w:line="257" w:lineRule="auto"/>
        <w:ind w:left="1418" w:hanging="1418"/>
      </w:pPr>
      <w:r w:rsidRPr="0026217B">
        <w:rPr>
          <w:rFonts w:ascii="Arial" w:eastAsia="Arial" w:hAnsi="Arial" w:cs="Arial"/>
          <w:sz w:val="24"/>
          <w:szCs w:val="24"/>
        </w:rPr>
        <w:t>10.7.1.2.2 Transmitter aspects</w:t>
      </w:r>
    </w:p>
    <w:p w14:paraId="7D03EEF6" w14:textId="77777777" w:rsidR="004E01DB" w:rsidRPr="007102E2" w:rsidRDefault="004E01DB" w:rsidP="004E01DB">
      <w:pPr>
        <w:spacing w:line="257" w:lineRule="auto"/>
      </w:pPr>
      <w:r w:rsidRPr="0026217B">
        <w:rPr>
          <w:rFonts w:ascii="Times New Roman" w:eastAsia="Times New Roman" w:hAnsi="Times New Roman" w:cs="Times New Roman"/>
          <w:b/>
          <w:bCs/>
          <w:i/>
          <w:iCs/>
          <w:sz w:val="20"/>
          <w:szCs w:val="20"/>
        </w:rPr>
        <w:t>ACLR (adjacent channel)</w:t>
      </w:r>
    </w:p>
    <w:p w14:paraId="1AF35DFD" w14:textId="77777777" w:rsidR="004E01DB" w:rsidRPr="007102E2" w:rsidRDefault="004E01DB" w:rsidP="004E01DB">
      <w:pPr>
        <w:spacing w:line="257" w:lineRule="auto"/>
      </w:pPr>
      <w:r w:rsidRPr="0026217B">
        <w:rPr>
          <w:rFonts w:ascii="Times New Roman" w:eastAsia="Times New Roman" w:hAnsi="Times New Roman" w:cs="Times New Roman"/>
          <w:sz w:val="20"/>
          <w:szCs w:val="20"/>
        </w:rPr>
        <w:t xml:space="preserve">ACLR is one aspect modelled as an interference aspect from a nearby aggressor UE transmitting in an adjacent UL subband. UE ACLR is modeled as </w:t>
      </w:r>
      <w:del w:id="15" w:author="作者">
        <w:r w:rsidRPr="0026217B" w:rsidDel="00974F8E">
          <w:rPr>
            <w:rFonts w:ascii="Times New Roman" w:eastAsia="Times New Roman" w:hAnsi="Times New Roman" w:cs="Times New Roman"/>
            <w:sz w:val="20"/>
            <w:szCs w:val="20"/>
          </w:rPr>
          <w:delText>[</w:delText>
        </w:r>
      </w:del>
      <w:r w:rsidRPr="0026217B">
        <w:rPr>
          <w:rFonts w:ascii="Times New Roman" w:eastAsia="Times New Roman" w:hAnsi="Times New Roman" w:cs="Times New Roman"/>
          <w:sz w:val="20"/>
          <w:szCs w:val="20"/>
        </w:rPr>
        <w:t>24 dB</w:t>
      </w:r>
      <w:del w:id="16" w:author="作者">
        <w:r w:rsidRPr="0026217B" w:rsidDel="00974F8E">
          <w:rPr>
            <w:rFonts w:ascii="Times New Roman" w:eastAsia="Times New Roman" w:hAnsi="Times New Roman" w:cs="Times New Roman"/>
            <w:sz w:val="20"/>
            <w:szCs w:val="20"/>
          </w:rPr>
          <w:delText>]</w:delText>
        </w:r>
      </w:del>
      <w:r w:rsidRPr="0026217B">
        <w:rPr>
          <w:rFonts w:ascii="Times New Roman" w:eastAsia="Times New Roman" w:hAnsi="Times New Roman" w:cs="Times New Roman"/>
          <w:sz w:val="20"/>
          <w:szCs w:val="20"/>
        </w:rPr>
        <w:t xml:space="preserve"> at max power, improving 1 dB/dB with </w:t>
      </w:r>
      <w:proofErr w:type="spellStart"/>
      <w:r w:rsidRPr="0026217B">
        <w:rPr>
          <w:rFonts w:ascii="Times New Roman" w:eastAsia="Times New Roman" w:hAnsi="Times New Roman" w:cs="Times New Roman"/>
          <w:sz w:val="20"/>
          <w:szCs w:val="20"/>
        </w:rPr>
        <w:t>backoff</w:t>
      </w:r>
      <w:proofErr w:type="spellEnd"/>
      <w:r w:rsidRPr="0026217B">
        <w:rPr>
          <w:rFonts w:ascii="Times New Roman" w:eastAsia="Times New Roman" w:hAnsi="Times New Roman" w:cs="Times New Roman"/>
          <w:sz w:val="20"/>
          <w:szCs w:val="20"/>
        </w:rPr>
        <w:t xml:space="preserve"> up to a maximum of 10 dB of improvement. Therefore, when the backoff is 10 dB, the ACLR is </w:t>
      </w:r>
      <w:del w:id="17" w:author="作者">
        <w:r w:rsidRPr="0026217B" w:rsidDel="00974F8E">
          <w:rPr>
            <w:rFonts w:ascii="Times New Roman" w:eastAsia="Times New Roman" w:hAnsi="Times New Roman" w:cs="Times New Roman"/>
            <w:sz w:val="20"/>
            <w:szCs w:val="20"/>
          </w:rPr>
          <w:delText>[</w:delText>
        </w:r>
      </w:del>
      <w:r w:rsidRPr="0026217B">
        <w:rPr>
          <w:rFonts w:ascii="Times New Roman" w:eastAsia="Times New Roman" w:hAnsi="Times New Roman" w:cs="Times New Roman"/>
          <w:sz w:val="20"/>
          <w:szCs w:val="20"/>
        </w:rPr>
        <w:t>34</w:t>
      </w:r>
      <w:del w:id="18" w:author="作者">
        <w:r w:rsidRPr="0026217B" w:rsidDel="00974F8E">
          <w:rPr>
            <w:rFonts w:ascii="Times New Roman" w:eastAsia="Times New Roman" w:hAnsi="Times New Roman" w:cs="Times New Roman"/>
            <w:sz w:val="20"/>
            <w:szCs w:val="20"/>
          </w:rPr>
          <w:delText>]</w:delText>
        </w:r>
      </w:del>
      <w:r w:rsidRPr="0026217B">
        <w:rPr>
          <w:rFonts w:ascii="Times New Roman" w:eastAsia="Times New Roman" w:hAnsi="Times New Roman" w:cs="Times New Roman"/>
          <w:sz w:val="20"/>
          <w:szCs w:val="20"/>
        </w:rPr>
        <w:t xml:space="preserve"> </w:t>
      </w:r>
      <w:proofErr w:type="spellStart"/>
      <w:r w:rsidRPr="0026217B">
        <w:rPr>
          <w:rFonts w:ascii="Times New Roman" w:eastAsia="Times New Roman" w:hAnsi="Times New Roman" w:cs="Times New Roman"/>
          <w:sz w:val="20"/>
          <w:szCs w:val="20"/>
        </w:rPr>
        <w:t>dB.</w:t>
      </w:r>
      <w:proofErr w:type="spellEnd"/>
      <w:r w:rsidRPr="0026217B">
        <w:rPr>
          <w:rFonts w:ascii="Times New Roman" w:eastAsia="Times New Roman" w:hAnsi="Times New Roman" w:cs="Times New Roman"/>
          <w:sz w:val="20"/>
          <w:szCs w:val="20"/>
        </w:rPr>
        <w:t xml:space="preserve"> This model </w:t>
      </w:r>
      <w:proofErr w:type="gramStart"/>
      <w:r w:rsidRPr="0026217B">
        <w:rPr>
          <w:rFonts w:ascii="Times New Roman" w:eastAsia="Times New Roman" w:hAnsi="Times New Roman" w:cs="Times New Roman"/>
          <w:sz w:val="20"/>
          <w:szCs w:val="20"/>
        </w:rPr>
        <w:t>is an approximation of</w:t>
      </w:r>
      <w:proofErr w:type="gramEnd"/>
      <w:r w:rsidRPr="0026217B">
        <w:rPr>
          <w:rFonts w:ascii="Times New Roman" w:eastAsia="Times New Roman" w:hAnsi="Times New Roman" w:cs="Times New Roman"/>
          <w:sz w:val="20"/>
          <w:szCs w:val="20"/>
        </w:rPr>
        <w:t xml:space="preserve"> the performance of a typical UE.</w:t>
      </w:r>
    </w:p>
    <w:p w14:paraId="056967E3" w14:textId="77777777" w:rsidR="004E01DB" w:rsidRPr="00974F8E" w:rsidRDefault="004E01DB" w:rsidP="004E01DB">
      <w:pPr>
        <w:spacing w:line="257" w:lineRule="auto"/>
        <w:ind w:left="1418" w:hanging="1418"/>
      </w:pPr>
      <w:r w:rsidRPr="00974F8E">
        <w:rPr>
          <w:rFonts w:ascii="Arial" w:eastAsia="Arial" w:hAnsi="Arial" w:cs="Arial"/>
          <w:sz w:val="24"/>
          <w:szCs w:val="24"/>
        </w:rPr>
        <w:t xml:space="preserve"> </w:t>
      </w:r>
    </w:p>
    <w:p w14:paraId="37C3330D" w14:textId="77777777" w:rsidR="004E01DB" w:rsidRPr="0026217B" w:rsidRDefault="004E01DB" w:rsidP="004E01DB">
      <w:pPr>
        <w:spacing w:line="257" w:lineRule="auto"/>
        <w:ind w:left="1134" w:hanging="1134"/>
      </w:pPr>
      <w:r w:rsidRPr="00974F8E">
        <w:rPr>
          <w:rFonts w:ascii="Arial" w:eastAsia="Arial" w:hAnsi="Arial" w:cs="Arial"/>
          <w:sz w:val="28"/>
          <w:szCs w:val="28"/>
        </w:rPr>
        <w:t>10.7.2</w:t>
      </w:r>
      <w:r w:rsidRPr="0026217B">
        <w:tab/>
      </w:r>
      <w:r w:rsidRPr="0026217B">
        <w:rPr>
          <w:rFonts w:ascii="Arial" w:eastAsia="Arial" w:hAnsi="Arial" w:cs="Arial"/>
          <w:sz w:val="28"/>
          <w:szCs w:val="28"/>
        </w:rPr>
        <w:t>Summary</w:t>
      </w:r>
    </w:p>
    <w:p w14:paraId="744E4515" w14:textId="262CB406" w:rsidR="00A45D70" w:rsidRPr="0026217B" w:rsidRDefault="0B302ED9" w:rsidP="2E9379FE">
      <w:pPr>
        <w:spacing w:line="257" w:lineRule="auto"/>
      </w:pPr>
      <w:r w:rsidRPr="0026217B">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00C25E2F" w14:textId="79F3F5E1" w:rsidR="00A45D70" w:rsidRPr="00C318B6" w:rsidRDefault="0B302ED9" w:rsidP="005D2D0D">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p w14:paraId="5FF6C17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075BCD1D" w14:textId="262CB406" w:rsidR="00A45D70" w:rsidRDefault="0B302ED9" w:rsidP="2E9379FE">
      <w:pPr>
        <w:pStyle w:val="1"/>
      </w:pPr>
      <w:r w:rsidRPr="2E9379FE">
        <w:rPr>
          <w:rFonts w:ascii="Arial" w:eastAsia="Arial" w:hAnsi="Arial" w:cs="Arial"/>
          <w:sz w:val="36"/>
          <w:szCs w:val="36"/>
          <w:lang w:val="en-GB"/>
        </w:rPr>
        <w:t>4</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Annex</w:t>
      </w:r>
    </w:p>
    <w:p w14:paraId="124D672C"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A6B4534" w14:textId="262CB406" w:rsidR="00A45D70" w:rsidRPr="00921B01" w:rsidRDefault="0B302ED9" w:rsidP="2E9379FE">
      <w:pPr>
        <w:pStyle w:val="a4"/>
        <w:numPr>
          <w:ilvl w:val="0"/>
          <w:numId w:val="27"/>
        </w:numPr>
        <w:rPr>
          <w:rFonts w:eastAsia="Calibri" w:cstheme="minorHAnsi"/>
          <w:b/>
          <w:bCs/>
          <w:sz w:val="24"/>
          <w:szCs w:val="24"/>
        </w:rPr>
      </w:pPr>
      <w:bookmarkStart w:id="19" w:name="_GoBack"/>
      <w:r w:rsidRPr="00921B01">
        <w:rPr>
          <w:rFonts w:eastAsia="Calibri" w:cstheme="minorHAnsi"/>
          <w:b/>
          <w:bCs/>
          <w:sz w:val="24"/>
          <w:szCs w:val="24"/>
        </w:rPr>
        <w:t>RAN4#104-e</w:t>
      </w:r>
    </w:p>
    <w:p w14:paraId="2D5BDD35"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 xml:space="preserve">Topic 1: RAN4 feasibility study and RF requirement impact for SBFD operation From UE perspective </w:t>
      </w:r>
    </w:p>
    <w:p w14:paraId="49BCDB90"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 xml:space="preserve">Agreement: </w:t>
      </w:r>
    </w:p>
    <w:p w14:paraId="102F7E95"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lastRenderedPageBreak/>
        <w:t>•</w:t>
      </w:r>
      <w:r w:rsidR="00A45D70" w:rsidRPr="00921B01">
        <w:rPr>
          <w:rFonts w:cstheme="minorHAnsi"/>
        </w:rPr>
        <w:tab/>
      </w:r>
      <w:r w:rsidRPr="00921B01">
        <w:rPr>
          <w:rFonts w:eastAsia="等线" w:cstheme="minorHAnsi"/>
          <w:sz w:val="20"/>
          <w:szCs w:val="20"/>
          <w:lang w:eastAsia="zh-CN"/>
        </w:rPr>
        <w:t>Using existing UE RF requirements to estimate UE performance and if needed extrapolating them for system level studies</w:t>
      </w:r>
    </w:p>
    <w:p w14:paraId="1524EE2A"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 xml:space="preserve"> </w:t>
      </w:r>
    </w:p>
    <w:p w14:paraId="67232D7A"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Topic 4: co-channel inter-subband UE-UE CLI model according to RAN1 LS</w:t>
      </w:r>
    </w:p>
    <w:p w14:paraId="584ECA3F" w14:textId="262CB406" w:rsidR="00A45D70" w:rsidRPr="00921B01" w:rsidRDefault="0B302ED9" w:rsidP="2E9379FE">
      <w:pPr>
        <w:spacing w:line="257" w:lineRule="auto"/>
        <w:rPr>
          <w:rFonts w:cstheme="minorHAnsi"/>
        </w:rPr>
      </w:pPr>
      <w:r w:rsidRPr="00921B01">
        <w:rPr>
          <w:rFonts w:eastAsia="Times New Roman" w:cstheme="minorHAnsi"/>
          <w:b/>
          <w:bCs/>
          <w:sz w:val="20"/>
          <w:szCs w:val="20"/>
        </w:rPr>
        <w:t xml:space="preserve">Candidate considerations for UE-UE CLI model: </w:t>
      </w:r>
    </w:p>
    <w:p w14:paraId="736361FD" w14:textId="262CB406" w:rsidR="00A45D70" w:rsidRPr="00921B01" w:rsidRDefault="0B302ED9" w:rsidP="2E9379FE">
      <w:pPr>
        <w:pStyle w:val="a4"/>
        <w:numPr>
          <w:ilvl w:val="0"/>
          <w:numId w:val="26"/>
        </w:numPr>
        <w:rPr>
          <w:rFonts w:eastAsia="Calibri" w:cstheme="minorHAnsi"/>
        </w:rPr>
      </w:pPr>
      <w:r w:rsidRPr="00921B01">
        <w:rPr>
          <w:rFonts w:eastAsia="Calibri" w:cstheme="minorHAnsi"/>
        </w:rPr>
        <w:t>TX model can refer to existing UE requirement in TS38.101-1 and TS38.101-2</w:t>
      </w:r>
    </w:p>
    <w:p w14:paraId="63A9E4D8" w14:textId="262CB406" w:rsidR="00A45D70" w:rsidRPr="00921B01" w:rsidRDefault="0B302ED9" w:rsidP="2E9379FE">
      <w:pPr>
        <w:pStyle w:val="a4"/>
        <w:numPr>
          <w:ilvl w:val="1"/>
          <w:numId w:val="26"/>
        </w:numPr>
        <w:rPr>
          <w:rFonts w:eastAsia="Calibri" w:cstheme="minorHAnsi"/>
        </w:rPr>
      </w:pPr>
      <w:r w:rsidRPr="00921B01">
        <w:rPr>
          <w:rFonts w:eastAsia="Calibri" w:cstheme="minorHAnsi"/>
        </w:rPr>
        <w:t>In band emission as starting point</w:t>
      </w:r>
    </w:p>
    <w:p w14:paraId="4D0918B2" w14:textId="262CB406" w:rsidR="00A45D70" w:rsidRPr="00921B01" w:rsidRDefault="0B302ED9" w:rsidP="2E9379FE">
      <w:pPr>
        <w:pStyle w:val="a4"/>
        <w:numPr>
          <w:ilvl w:val="1"/>
          <w:numId w:val="26"/>
        </w:numPr>
        <w:rPr>
          <w:rFonts w:eastAsia="Calibri" w:cstheme="minorHAnsi"/>
        </w:rPr>
      </w:pPr>
      <w:r w:rsidRPr="00921B01">
        <w:rPr>
          <w:rFonts w:eastAsia="Calibri" w:cstheme="minorHAnsi"/>
        </w:rPr>
        <w:t>FFS is not precluded for other candidates such as ACLR</w:t>
      </w:r>
    </w:p>
    <w:p w14:paraId="07902E7B" w14:textId="262CB406" w:rsidR="00A45D70" w:rsidRPr="00921B01" w:rsidRDefault="0B302ED9" w:rsidP="2E9379FE">
      <w:pPr>
        <w:pStyle w:val="a4"/>
        <w:numPr>
          <w:ilvl w:val="0"/>
          <w:numId w:val="26"/>
        </w:numPr>
        <w:rPr>
          <w:rFonts w:eastAsia="Calibri" w:cstheme="minorHAnsi"/>
        </w:rPr>
      </w:pPr>
      <w:r w:rsidRPr="00921B01">
        <w:rPr>
          <w:rFonts w:eastAsia="Calibri" w:cstheme="minorHAnsi"/>
        </w:rPr>
        <w:t>RX model can refer to existing UE requirement in TS38.101-1 and TS38.101-2</w:t>
      </w:r>
    </w:p>
    <w:p w14:paraId="3F5D83A0" w14:textId="262CB406" w:rsidR="00A45D70" w:rsidRPr="00921B01" w:rsidRDefault="0B302ED9" w:rsidP="2E9379FE">
      <w:pPr>
        <w:pStyle w:val="a4"/>
        <w:numPr>
          <w:ilvl w:val="1"/>
          <w:numId w:val="26"/>
        </w:numPr>
        <w:rPr>
          <w:rFonts w:eastAsia="Calibri" w:cstheme="minorHAnsi"/>
        </w:rPr>
      </w:pPr>
      <w:r w:rsidRPr="00921B01">
        <w:rPr>
          <w:rFonts w:eastAsia="Calibri" w:cstheme="minorHAnsi"/>
        </w:rPr>
        <w:t>Maximum input power as threshold based on above specification</w:t>
      </w:r>
    </w:p>
    <w:p w14:paraId="25957BE2" w14:textId="262CB406" w:rsidR="00A45D70" w:rsidRPr="00921B01" w:rsidRDefault="0B302ED9" w:rsidP="2E9379FE">
      <w:pPr>
        <w:pStyle w:val="a4"/>
        <w:numPr>
          <w:ilvl w:val="1"/>
          <w:numId w:val="26"/>
        </w:numPr>
        <w:rPr>
          <w:rFonts w:eastAsia="Calibri" w:cstheme="minorHAnsi"/>
        </w:rPr>
      </w:pPr>
      <w:r w:rsidRPr="00921B01">
        <w:rPr>
          <w:rFonts w:eastAsia="Calibri" w:cstheme="minorHAnsi"/>
        </w:rPr>
        <w:t xml:space="preserve">FFS is not precluded for other candidates such as ACS, ICI, and estimated RX model based on legacy UE. </w:t>
      </w:r>
    </w:p>
    <w:p w14:paraId="331EFB9D" w14:textId="262CB406" w:rsidR="00A45D70" w:rsidRPr="00921B01" w:rsidRDefault="0B302ED9" w:rsidP="2E9379FE">
      <w:pPr>
        <w:tabs>
          <w:tab w:val="left" w:pos="574"/>
        </w:tabs>
        <w:spacing w:line="257" w:lineRule="auto"/>
        <w:jc w:val="both"/>
        <w:rPr>
          <w:rFonts w:cstheme="minorHAnsi"/>
        </w:rPr>
      </w:pPr>
      <w:r w:rsidRPr="00921B01">
        <w:rPr>
          <w:rFonts w:eastAsia="Times New Roman" w:cstheme="minorHAnsi"/>
          <w:sz w:val="20"/>
          <w:szCs w:val="20"/>
        </w:rPr>
        <w:t xml:space="preserve"> </w:t>
      </w:r>
    </w:p>
    <w:p w14:paraId="55F82491" w14:textId="262CB406" w:rsidR="00A45D70" w:rsidRPr="00921B01" w:rsidRDefault="0B302ED9" w:rsidP="2E9379FE">
      <w:pPr>
        <w:tabs>
          <w:tab w:val="left" w:pos="574"/>
        </w:tabs>
        <w:spacing w:line="257" w:lineRule="auto"/>
        <w:jc w:val="both"/>
        <w:rPr>
          <w:rFonts w:cstheme="minorHAnsi"/>
        </w:rPr>
      </w:pPr>
      <w:r w:rsidRPr="00921B01">
        <w:rPr>
          <w:rFonts w:eastAsia="Times New Roman" w:cstheme="minorHAnsi"/>
          <w:sz w:val="20"/>
          <w:szCs w:val="20"/>
        </w:rPr>
        <w:t>Topic 6: adjacent-channel UE-UE CLI model according to RAN1 LS</w:t>
      </w:r>
    </w:p>
    <w:p w14:paraId="3640D18D"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Agreement on feasibility and how to model UE-UE CLI modelling considering unwanted emission and receiver selectivity:</w:t>
      </w:r>
    </w:p>
    <w:p w14:paraId="228FCDDE" w14:textId="262CB406" w:rsidR="00A45D70" w:rsidRPr="00921B01" w:rsidRDefault="0B302ED9" w:rsidP="2E9379FE">
      <w:pPr>
        <w:pStyle w:val="a4"/>
        <w:numPr>
          <w:ilvl w:val="0"/>
          <w:numId w:val="21"/>
        </w:numPr>
        <w:rPr>
          <w:rFonts w:eastAsia="Calibri" w:cstheme="minorHAnsi"/>
        </w:rPr>
      </w:pPr>
      <w:r w:rsidRPr="00921B01">
        <w:rPr>
          <w:rFonts w:eastAsia="Calibri" w:cstheme="minorHAnsi"/>
        </w:rPr>
        <w:t>Model as starting point : UE ACLR based model on TX and UE ACS based model on RX which is the same ACIR model as Rel-16 CLI study.</w:t>
      </w:r>
    </w:p>
    <w:p w14:paraId="31274DC5" w14:textId="262CB406" w:rsidR="00A45D70" w:rsidRPr="00921B01" w:rsidRDefault="0B302ED9" w:rsidP="2E9379FE">
      <w:pPr>
        <w:pStyle w:val="a4"/>
        <w:numPr>
          <w:ilvl w:val="0"/>
          <w:numId w:val="21"/>
        </w:numPr>
        <w:rPr>
          <w:rFonts w:eastAsia="Calibri" w:cstheme="minorHAnsi"/>
        </w:rPr>
      </w:pPr>
      <w:r w:rsidRPr="00921B01">
        <w:rPr>
          <w:rFonts w:eastAsia="Calibri" w:cstheme="minorHAnsi"/>
        </w:rPr>
        <w:t>FFS on below model</w:t>
      </w:r>
    </w:p>
    <w:p w14:paraId="61285C7F" w14:textId="262CB406" w:rsidR="00A45D70" w:rsidRPr="00921B01" w:rsidRDefault="0B302ED9" w:rsidP="2E9379FE">
      <w:pPr>
        <w:pStyle w:val="a4"/>
        <w:numPr>
          <w:ilvl w:val="1"/>
          <w:numId w:val="21"/>
        </w:numPr>
        <w:rPr>
          <w:rFonts w:eastAsia="Calibri" w:cstheme="minorHAnsi"/>
        </w:rPr>
      </w:pPr>
      <w:r w:rsidRPr="00921B01">
        <w:rPr>
          <w:rFonts w:eastAsia="Calibri" w:cstheme="minorHAnsi"/>
        </w:rPr>
        <w:t>UE ACLR model with 2step size(FR1 example: ACLR1/2=28/33dB) on TX</w:t>
      </w:r>
    </w:p>
    <w:p w14:paraId="0596C68B" w14:textId="262CB406" w:rsidR="00A45D70" w:rsidRPr="00921B01" w:rsidRDefault="0B302ED9" w:rsidP="2E9379FE">
      <w:pPr>
        <w:pStyle w:val="a4"/>
        <w:numPr>
          <w:ilvl w:val="1"/>
          <w:numId w:val="21"/>
        </w:numPr>
        <w:rPr>
          <w:rFonts w:eastAsia="Calibri" w:cstheme="minorHAnsi"/>
        </w:rPr>
      </w:pPr>
      <w:r w:rsidRPr="00921B01">
        <w:rPr>
          <w:rFonts w:eastAsia="Calibri" w:cstheme="minorHAnsi"/>
        </w:rPr>
        <w:t>UE ACS based model on RX if blocker is smaller than maximum input level of UE, and additional SNR degradation at the victim receiver due to receiver gain backoff</w:t>
      </w:r>
    </w:p>
    <w:p w14:paraId="4F1932E0" w14:textId="262CB406" w:rsidR="00A45D70" w:rsidRPr="00921B01" w:rsidRDefault="0B302ED9" w:rsidP="2E9379FE">
      <w:pPr>
        <w:pStyle w:val="a4"/>
        <w:numPr>
          <w:ilvl w:val="0"/>
          <w:numId w:val="21"/>
        </w:numPr>
        <w:rPr>
          <w:rFonts w:eastAsia="Calibri" w:cstheme="minorHAnsi"/>
        </w:rPr>
      </w:pPr>
      <w:r w:rsidRPr="00921B01">
        <w:rPr>
          <w:rFonts w:eastAsia="Calibri" w:cstheme="minorHAnsi"/>
        </w:rPr>
        <w:t xml:space="preserve">FFS on how the per-sub-band/RB aspect is </w:t>
      </w:r>
      <w:proofErr w:type="spellStart"/>
      <w:r w:rsidRPr="00921B01">
        <w:rPr>
          <w:rFonts w:eastAsia="Calibri" w:cstheme="minorHAnsi"/>
        </w:rPr>
        <w:t>characterised</w:t>
      </w:r>
      <w:proofErr w:type="spellEnd"/>
      <w:r w:rsidRPr="00921B01">
        <w:rPr>
          <w:rFonts w:eastAsia="Calibri" w:cstheme="minorHAnsi"/>
        </w:rPr>
        <w:t>. Other aspect is also not precluded</w:t>
      </w:r>
    </w:p>
    <w:p w14:paraId="69FBBDE7"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 xml:space="preserve"> </w:t>
      </w:r>
    </w:p>
    <w:p w14:paraId="6D8EF490" w14:textId="262CB406" w:rsidR="00A45D70" w:rsidRPr="00921B01" w:rsidRDefault="0B302ED9" w:rsidP="2E9379FE">
      <w:pPr>
        <w:pStyle w:val="a4"/>
        <w:numPr>
          <w:ilvl w:val="0"/>
          <w:numId w:val="27"/>
        </w:numPr>
        <w:rPr>
          <w:rFonts w:eastAsia="Calibri" w:cstheme="minorHAnsi"/>
          <w:b/>
          <w:bCs/>
          <w:sz w:val="24"/>
          <w:szCs w:val="24"/>
        </w:rPr>
      </w:pPr>
      <w:r w:rsidRPr="00921B01">
        <w:rPr>
          <w:rFonts w:eastAsia="Calibri" w:cstheme="minorHAnsi"/>
          <w:b/>
          <w:bCs/>
          <w:sz w:val="24"/>
          <w:szCs w:val="24"/>
        </w:rPr>
        <w:t>RAN4#104bis-e</w:t>
      </w:r>
    </w:p>
    <w:p w14:paraId="7983063B"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UE TX aggressor toward adjacent channel victim (FR1)</w:t>
      </w:r>
    </w:p>
    <w:p w14:paraId="16509C3B"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What base value for ACLR1 in TX model for FR1 power class 3?</w:t>
      </w:r>
    </w:p>
    <w:p w14:paraId="1D7CF94F"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 xml:space="preserve">Agreement: </w:t>
      </w:r>
    </w:p>
    <w:p w14:paraId="11235FA1"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t>•</w:t>
      </w:r>
      <w:r w:rsidR="00A45D70" w:rsidRPr="00921B01">
        <w:rPr>
          <w:rFonts w:cstheme="minorHAnsi"/>
        </w:rPr>
        <w:tab/>
      </w:r>
      <w:r w:rsidRPr="00921B01">
        <w:rPr>
          <w:rFonts w:eastAsia="等线" w:cstheme="minorHAnsi"/>
          <w:sz w:val="20"/>
          <w:szCs w:val="20"/>
          <w:lang w:eastAsia="zh-CN"/>
        </w:rPr>
        <w:t xml:space="preserve">30 dB is the total distortion power on either side of a fully allocated uplink sub-band. The ACLR1 distortion PSD is modeled as flat over that range (From the agreement below) </w:t>
      </w:r>
    </w:p>
    <w:p w14:paraId="4C8EECCC" w14:textId="262CB406" w:rsidR="00A45D70" w:rsidRPr="00921B01" w:rsidRDefault="0B302ED9" w:rsidP="2E9379FE">
      <w:pPr>
        <w:spacing w:line="257" w:lineRule="auto"/>
        <w:rPr>
          <w:rFonts w:cstheme="minorHAnsi"/>
        </w:rPr>
      </w:pPr>
      <w:r w:rsidRPr="00921B01">
        <w:rPr>
          <w:rFonts w:eastAsia="等线" w:cstheme="minorHAnsi"/>
          <w:sz w:val="20"/>
          <w:szCs w:val="20"/>
          <w:lang w:eastAsia="zh-CN"/>
        </w:rPr>
        <w:t>•</w:t>
      </w:r>
      <w:r w:rsidR="00A45D70" w:rsidRPr="00921B01">
        <w:rPr>
          <w:rFonts w:cstheme="minorHAnsi"/>
        </w:rPr>
        <w:tab/>
      </w:r>
      <w:r w:rsidRPr="00921B01">
        <w:rPr>
          <w:rFonts w:eastAsia="等线" w:cstheme="minorHAnsi"/>
          <w:sz w:val="20"/>
          <w:szCs w:val="20"/>
          <w:lang w:eastAsia="zh-CN"/>
        </w:rPr>
        <w:t>FFS whether we need to consider whether we need to model allocations that are less than fully  allocated uplink sub-bands</w:t>
      </w:r>
    </w:p>
    <w:p w14:paraId="317A1B15" w14:textId="262CB406" w:rsidR="00A45D70" w:rsidRPr="00921B01" w:rsidRDefault="0B302ED9" w:rsidP="2E9379FE">
      <w:pPr>
        <w:spacing w:line="257" w:lineRule="auto"/>
        <w:rPr>
          <w:rFonts w:cstheme="minorHAnsi"/>
        </w:rPr>
      </w:pPr>
      <w:r w:rsidRPr="00921B01">
        <w:rPr>
          <w:rFonts w:eastAsia="Times New Roman" w:cstheme="minorHAnsi"/>
          <w:sz w:val="20"/>
          <w:szCs w:val="20"/>
        </w:rPr>
        <w:t xml:space="preserve"> </w:t>
      </w:r>
    </w:p>
    <w:p w14:paraId="0C5E537E"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lang w:val="sv"/>
        </w:rPr>
        <w:t>What base value value should the model use for FR1 PC3 ACLR2?</w:t>
      </w:r>
    </w:p>
    <w:p w14:paraId="0C4505EE"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lang w:val="sv"/>
        </w:rPr>
        <w:t xml:space="preserve">Agreement: </w:t>
      </w:r>
    </w:p>
    <w:p w14:paraId="2E991C01"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lastRenderedPageBreak/>
        <w:t>•</w:t>
      </w:r>
      <w:r w:rsidRPr="00921B01">
        <w:rPr>
          <w:rFonts w:eastAsia="Times New Roman" w:cstheme="minorHAnsi"/>
          <w:sz w:val="20"/>
          <w:szCs w:val="20"/>
          <w:lang w:val="sv"/>
        </w:rPr>
        <w:t xml:space="preserve">              Follow Ericsson suggestion and evaluate the effect of UE-UE CLI with ACLR1 only.</w:t>
      </w:r>
    </w:p>
    <w:p w14:paraId="51326F78"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t>•</w:t>
      </w:r>
      <w:r w:rsidRPr="00921B01">
        <w:rPr>
          <w:rFonts w:eastAsia="Times New Roman" w:cstheme="minorHAnsi"/>
          <w:sz w:val="20"/>
          <w:szCs w:val="20"/>
          <w:lang w:val="sv"/>
        </w:rPr>
        <w:t xml:space="preserve">              Revisit the discussion on ACLR2 if UE-UE CLI becomes significant</w:t>
      </w:r>
    </w:p>
    <w:p w14:paraId="2431EBBB"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lang w:val="sv"/>
        </w:rPr>
        <w:t xml:space="preserve"> </w:t>
      </w:r>
    </w:p>
    <w:p w14:paraId="5239A357"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lang w:val="sv"/>
        </w:rPr>
        <w:t>Do we need to model TX power classes other than FR1 PC3?</w:t>
      </w:r>
    </w:p>
    <w:p w14:paraId="746051BF"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lang w:val="sv"/>
        </w:rPr>
        <w:t>Agreement:</w:t>
      </w:r>
      <w:r w:rsidRPr="00921B01">
        <w:rPr>
          <w:rFonts w:eastAsia="Times New Roman" w:cstheme="minorHAnsi"/>
          <w:sz w:val="20"/>
          <w:szCs w:val="20"/>
          <w:lang w:val="sv"/>
        </w:rPr>
        <w:t xml:space="preserve"> Power class 3 only </w:t>
      </w:r>
    </w:p>
    <w:p w14:paraId="44DA217B" w14:textId="262CB406" w:rsidR="00A45D70" w:rsidRPr="00921B01" w:rsidRDefault="0B302ED9" w:rsidP="2E9379FE">
      <w:pPr>
        <w:spacing w:line="257" w:lineRule="auto"/>
        <w:rPr>
          <w:rFonts w:cstheme="minorHAnsi"/>
        </w:rPr>
      </w:pPr>
      <w:r w:rsidRPr="00921B01">
        <w:rPr>
          <w:rFonts w:eastAsia="Times New Roman" w:cstheme="minorHAnsi"/>
          <w:sz w:val="20"/>
          <w:szCs w:val="20"/>
        </w:rPr>
        <w:t xml:space="preserve"> </w:t>
      </w:r>
    </w:p>
    <w:p w14:paraId="29AD5ACD" w14:textId="262CB406" w:rsidR="00A45D70" w:rsidRPr="00921B01" w:rsidRDefault="0B302ED9" w:rsidP="2E9379FE">
      <w:pPr>
        <w:spacing w:line="257" w:lineRule="auto"/>
        <w:rPr>
          <w:rFonts w:cstheme="minorHAnsi"/>
        </w:rPr>
      </w:pPr>
      <w:r w:rsidRPr="00921B01">
        <w:rPr>
          <w:rFonts w:eastAsia="Times New Roman" w:cstheme="minorHAnsi"/>
          <w:sz w:val="20"/>
          <w:szCs w:val="20"/>
        </w:rPr>
        <w:t>What is the frequency resolution (granularity) of the model(ACLR)?</w:t>
      </w:r>
    </w:p>
    <w:p w14:paraId="2AB89C62" w14:textId="262CB406" w:rsidR="00A45D70" w:rsidRPr="00921B01" w:rsidRDefault="0B302ED9" w:rsidP="2E9379FE">
      <w:pPr>
        <w:spacing w:line="257" w:lineRule="auto"/>
        <w:rPr>
          <w:rFonts w:cstheme="minorHAnsi"/>
        </w:rPr>
      </w:pPr>
      <w:r w:rsidRPr="00921B01">
        <w:rPr>
          <w:rFonts w:eastAsia="Times New Roman" w:cstheme="minorHAnsi"/>
          <w:b/>
          <w:bCs/>
          <w:sz w:val="20"/>
          <w:szCs w:val="20"/>
        </w:rPr>
        <w:t>Agreement:</w:t>
      </w:r>
      <w:r w:rsidRPr="00921B01">
        <w:rPr>
          <w:rFonts w:eastAsia="Times New Roman" w:cstheme="minorHAnsi"/>
          <w:sz w:val="20"/>
          <w:szCs w:val="20"/>
        </w:rPr>
        <w:t xml:space="preserve"> Option 2 – Distortion is modeled as a flat power spectral </w:t>
      </w:r>
      <w:proofErr w:type="spellStart"/>
      <w:r w:rsidRPr="00921B01">
        <w:rPr>
          <w:rFonts w:eastAsia="Times New Roman" w:cstheme="minorHAnsi"/>
          <w:sz w:val="20"/>
          <w:szCs w:val="20"/>
        </w:rPr>
        <w:t>densitity</w:t>
      </w:r>
      <w:proofErr w:type="spellEnd"/>
      <w:r w:rsidRPr="00921B01">
        <w:rPr>
          <w:rFonts w:eastAsia="Times New Roman" w:cstheme="minorHAnsi"/>
          <w:sz w:val="20"/>
          <w:szCs w:val="20"/>
        </w:rPr>
        <w:t xml:space="preserve"> across the frequency range of the distortion</w:t>
      </w:r>
    </w:p>
    <w:p w14:paraId="6CF70DF1" w14:textId="262CB406" w:rsidR="00A45D70" w:rsidRPr="00921B01" w:rsidRDefault="0B302ED9" w:rsidP="2E9379FE">
      <w:pPr>
        <w:spacing w:line="257" w:lineRule="auto"/>
        <w:rPr>
          <w:rFonts w:cstheme="minorHAnsi"/>
        </w:rPr>
      </w:pPr>
      <w:r w:rsidRPr="00921B01">
        <w:rPr>
          <w:rFonts w:eastAsia="Times New Roman" w:cstheme="minorHAnsi"/>
          <w:sz w:val="20"/>
          <w:szCs w:val="20"/>
        </w:rPr>
        <w:t xml:space="preserve"> </w:t>
      </w:r>
    </w:p>
    <w:p w14:paraId="2D02E4BF" w14:textId="262CB406" w:rsidR="00A45D70" w:rsidRPr="00921B01" w:rsidRDefault="0B302ED9" w:rsidP="2E9379FE">
      <w:pPr>
        <w:spacing w:line="257" w:lineRule="auto"/>
        <w:rPr>
          <w:rFonts w:cstheme="minorHAnsi"/>
        </w:rPr>
      </w:pPr>
      <w:r w:rsidRPr="00921B01">
        <w:rPr>
          <w:rFonts w:eastAsia="Times New Roman" w:cstheme="minorHAnsi"/>
          <w:sz w:val="20"/>
          <w:szCs w:val="20"/>
        </w:rPr>
        <w:t>Should the ACLR-based interference be scaled with backoff?</w:t>
      </w:r>
    </w:p>
    <w:p w14:paraId="7F4350F9"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 xml:space="preserve">Agreement: </w:t>
      </w:r>
    </w:p>
    <w:p w14:paraId="456E933A"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t>•</w:t>
      </w:r>
      <w:r w:rsidR="00A45D70" w:rsidRPr="00921B01">
        <w:rPr>
          <w:rFonts w:cstheme="minorHAnsi"/>
        </w:rPr>
        <w:tab/>
      </w:r>
      <w:r w:rsidRPr="00921B01">
        <w:rPr>
          <w:rFonts w:eastAsia="等线" w:cstheme="minorHAnsi"/>
          <w:sz w:val="20"/>
          <w:szCs w:val="20"/>
          <w:lang w:eastAsia="zh-CN"/>
        </w:rPr>
        <w:t>Option 3 – Do not model improved ACLR with backoff</w:t>
      </w:r>
    </w:p>
    <w:p w14:paraId="4FB1CE44" w14:textId="262CB406" w:rsidR="00A45D70" w:rsidRPr="00921B01" w:rsidRDefault="0B302ED9" w:rsidP="2E9379FE">
      <w:pPr>
        <w:spacing w:line="257" w:lineRule="auto"/>
        <w:jc w:val="both"/>
        <w:rPr>
          <w:rFonts w:cstheme="minorHAnsi"/>
        </w:rPr>
      </w:pPr>
      <w:r w:rsidRPr="00921B01">
        <w:rPr>
          <w:rFonts w:eastAsia="等线" w:cstheme="minorHAnsi"/>
          <w:sz w:val="20"/>
          <w:szCs w:val="20"/>
          <w:lang w:eastAsia="zh-CN"/>
        </w:rPr>
        <w:t>•</w:t>
      </w:r>
      <w:r w:rsidR="00A45D70" w:rsidRPr="00921B01">
        <w:rPr>
          <w:rFonts w:cstheme="minorHAnsi"/>
        </w:rPr>
        <w:tab/>
      </w:r>
      <w:r w:rsidRPr="00921B01">
        <w:rPr>
          <w:rFonts w:eastAsia="等线" w:cstheme="minorHAnsi"/>
          <w:sz w:val="20"/>
          <w:szCs w:val="20"/>
          <w:lang w:eastAsia="zh-CN"/>
        </w:rPr>
        <w:t>Revisit the discussion on backoff-dependent ACLR if UE-UE CLI becomes significant</w:t>
      </w:r>
    </w:p>
    <w:p w14:paraId="42176F3F"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 xml:space="preserve"> </w:t>
      </w:r>
    </w:p>
    <w:p w14:paraId="47EFC10C"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Should the model use ACLR or OBW as the base value?</w:t>
      </w:r>
    </w:p>
    <w:p w14:paraId="2D57F010" w14:textId="262CB406" w:rsidR="00A45D70" w:rsidRPr="00921B01" w:rsidRDefault="0B302ED9" w:rsidP="2E9379FE">
      <w:pPr>
        <w:spacing w:line="254" w:lineRule="auto"/>
        <w:rPr>
          <w:rFonts w:cstheme="minorHAnsi"/>
        </w:rPr>
      </w:pPr>
      <w:r w:rsidRPr="00921B01">
        <w:rPr>
          <w:rFonts w:eastAsia="Times New Roman" w:cstheme="minorHAnsi"/>
          <w:b/>
          <w:bCs/>
          <w:sz w:val="20"/>
          <w:szCs w:val="20"/>
          <w:lang w:val="sv"/>
        </w:rPr>
        <w:t>Agreement:</w:t>
      </w:r>
      <w:r w:rsidRPr="00921B01">
        <w:rPr>
          <w:rFonts w:eastAsia="Times New Roman" w:cstheme="minorHAnsi"/>
          <w:i/>
          <w:iCs/>
          <w:sz w:val="20"/>
          <w:szCs w:val="20"/>
          <w:lang w:val="sv"/>
        </w:rPr>
        <w:t xml:space="preserve"> For FR2-1 use OBW as basis (23 dB)</w:t>
      </w:r>
    </w:p>
    <w:p w14:paraId="4A10422D" w14:textId="262CB406" w:rsidR="00A45D70" w:rsidRPr="00921B01" w:rsidRDefault="0B302ED9" w:rsidP="2E9379FE">
      <w:pPr>
        <w:spacing w:line="254" w:lineRule="auto"/>
        <w:rPr>
          <w:rFonts w:cstheme="minorHAnsi"/>
        </w:rPr>
      </w:pPr>
      <w:r w:rsidRPr="00921B01">
        <w:rPr>
          <w:rFonts w:eastAsia="Times New Roman" w:cstheme="minorHAnsi"/>
          <w:i/>
          <w:iCs/>
          <w:sz w:val="20"/>
          <w:szCs w:val="20"/>
          <w:highlight w:val="green"/>
          <w:lang w:val="sv"/>
        </w:rPr>
        <w:t xml:space="preserve"> </w:t>
      </w:r>
    </w:p>
    <w:p w14:paraId="2BEF4B57" w14:textId="262CB406" w:rsidR="00A45D70" w:rsidRPr="00921B01" w:rsidRDefault="0B302ED9" w:rsidP="2E9379FE">
      <w:pPr>
        <w:spacing w:line="254" w:lineRule="auto"/>
        <w:rPr>
          <w:rFonts w:cstheme="minorHAnsi"/>
        </w:rPr>
      </w:pPr>
      <w:r w:rsidRPr="00921B01">
        <w:rPr>
          <w:rFonts w:eastAsia="Times New Roman" w:cstheme="minorHAnsi"/>
          <w:sz w:val="20"/>
          <w:szCs w:val="20"/>
          <w:lang w:val="sv"/>
        </w:rPr>
        <w:t>Should the FR2-1 model include an ACLR2-type aspect, similar to FR1?</w:t>
      </w:r>
    </w:p>
    <w:p w14:paraId="290E9E46" w14:textId="262CB406" w:rsidR="00A45D70" w:rsidRPr="00921B01" w:rsidRDefault="0B302ED9" w:rsidP="2E9379FE">
      <w:pPr>
        <w:spacing w:line="257"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ACLR-2 model aspect is precluded for FR2-1</w:t>
      </w:r>
    </w:p>
    <w:p w14:paraId="09387874" w14:textId="262CB406" w:rsidR="00A45D70" w:rsidRPr="00921B01" w:rsidRDefault="0B302ED9" w:rsidP="2E9379FE">
      <w:pPr>
        <w:spacing w:line="254" w:lineRule="auto"/>
        <w:rPr>
          <w:rFonts w:cstheme="minorHAnsi"/>
        </w:rPr>
      </w:pPr>
      <w:r w:rsidRPr="00921B01">
        <w:rPr>
          <w:rFonts w:eastAsia="Times New Roman" w:cstheme="minorHAnsi"/>
          <w:sz w:val="20"/>
          <w:szCs w:val="20"/>
          <w:highlight w:val="green"/>
        </w:rPr>
        <w:t xml:space="preserve"> </w:t>
      </w:r>
    </w:p>
    <w:p w14:paraId="5292568B" w14:textId="262CB406" w:rsidR="00A45D70" w:rsidRPr="00921B01" w:rsidRDefault="0B302ED9" w:rsidP="2E9379FE">
      <w:pPr>
        <w:spacing w:line="254" w:lineRule="auto"/>
        <w:rPr>
          <w:rFonts w:cstheme="minorHAnsi"/>
        </w:rPr>
      </w:pPr>
      <w:r w:rsidRPr="00921B01">
        <w:rPr>
          <w:rFonts w:eastAsia="Times New Roman" w:cstheme="minorHAnsi"/>
          <w:sz w:val="20"/>
          <w:szCs w:val="20"/>
        </w:rPr>
        <w:t>1.2</w:t>
      </w:r>
      <w:r w:rsidR="00A45D70" w:rsidRPr="00921B01">
        <w:rPr>
          <w:rFonts w:cstheme="minorHAnsi"/>
        </w:rPr>
        <w:tab/>
      </w:r>
      <w:r w:rsidRPr="00921B01">
        <w:rPr>
          <w:rFonts w:eastAsia="Times New Roman" w:cstheme="minorHAnsi"/>
          <w:sz w:val="20"/>
          <w:szCs w:val="20"/>
        </w:rPr>
        <w:t>Co-channel model</w:t>
      </w:r>
    </w:p>
    <w:p w14:paraId="09FC994D" w14:textId="262CB406" w:rsidR="00A45D70" w:rsidRPr="00921B01" w:rsidRDefault="0B302ED9" w:rsidP="2E9379FE">
      <w:pPr>
        <w:spacing w:line="254" w:lineRule="auto"/>
        <w:rPr>
          <w:rFonts w:cstheme="minorHAnsi"/>
        </w:rPr>
      </w:pPr>
      <w:r w:rsidRPr="00921B01">
        <w:rPr>
          <w:rFonts w:eastAsia="Times New Roman" w:cstheme="minorHAnsi"/>
          <w:sz w:val="20"/>
          <w:szCs w:val="20"/>
        </w:rPr>
        <w:t>1.2.1</w:t>
      </w:r>
      <w:r w:rsidR="00A45D70" w:rsidRPr="00921B01">
        <w:rPr>
          <w:rFonts w:cstheme="minorHAnsi"/>
        </w:rPr>
        <w:tab/>
      </w:r>
      <w:r w:rsidRPr="00921B01">
        <w:rPr>
          <w:rFonts w:eastAsia="Times New Roman" w:cstheme="minorHAnsi"/>
          <w:sz w:val="20"/>
          <w:szCs w:val="20"/>
        </w:rPr>
        <w:t>UE TX aggressor toward co-channel victim (FR1)</w:t>
      </w:r>
    </w:p>
    <w:p w14:paraId="7CE90071"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Use IBE-based model for co-channel</w:t>
      </w:r>
    </w:p>
    <w:p w14:paraId="3F685454"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IBE-based model granularity is 1 RB.</w:t>
      </w:r>
    </w:p>
    <w:p w14:paraId="475FFE80"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The IBE-based model should Include the image aspect of IBE and assume the LO is in the middle of the channel to allow for correct placement of the image frequency.</w:t>
      </w:r>
    </w:p>
    <w:p w14:paraId="670C898C"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1.2.2</w:t>
      </w:r>
      <w:r w:rsidR="00A45D70" w:rsidRPr="00921B01">
        <w:rPr>
          <w:rFonts w:cstheme="minorHAnsi"/>
        </w:rPr>
        <w:tab/>
      </w:r>
      <w:r w:rsidRPr="00921B01">
        <w:rPr>
          <w:rFonts w:eastAsia="Times New Roman" w:cstheme="minorHAnsi"/>
          <w:i/>
          <w:iCs/>
          <w:sz w:val="20"/>
          <w:szCs w:val="20"/>
        </w:rPr>
        <w:t xml:space="preserve">UE TX aggressor toward co-channel victim (FR2-1) </w:t>
      </w:r>
    </w:p>
    <w:p w14:paraId="57512134"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Use the same approach as in adjacent channel aggressor model for FR2-1</w:t>
      </w:r>
    </w:p>
    <w:p w14:paraId="3B7FADD6"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 xml:space="preserve"> </w:t>
      </w:r>
    </w:p>
    <w:p w14:paraId="02671CFF"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2</w:t>
      </w:r>
      <w:r w:rsidR="00A45D70" w:rsidRPr="00921B01">
        <w:rPr>
          <w:rFonts w:cstheme="minorHAnsi"/>
        </w:rPr>
        <w:tab/>
      </w:r>
      <w:r w:rsidRPr="00921B01">
        <w:rPr>
          <w:rFonts w:eastAsia="Times New Roman" w:cstheme="minorHAnsi"/>
          <w:i/>
          <w:iCs/>
          <w:sz w:val="20"/>
          <w:szCs w:val="20"/>
        </w:rPr>
        <w:t>UE RX modelling aspects</w:t>
      </w:r>
    </w:p>
    <w:p w14:paraId="1475FF16"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lastRenderedPageBreak/>
        <w:t>2.1</w:t>
      </w:r>
      <w:r w:rsidR="00A45D70" w:rsidRPr="00921B01">
        <w:rPr>
          <w:rFonts w:cstheme="minorHAnsi"/>
        </w:rPr>
        <w:tab/>
      </w:r>
      <w:r w:rsidRPr="00921B01">
        <w:rPr>
          <w:rFonts w:eastAsia="Times New Roman" w:cstheme="minorHAnsi"/>
          <w:i/>
          <w:iCs/>
          <w:sz w:val="20"/>
          <w:szCs w:val="20"/>
        </w:rPr>
        <w:t>Adjacent channel model</w:t>
      </w:r>
    </w:p>
    <w:p w14:paraId="7A95AAEF"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2.1.1</w:t>
      </w:r>
      <w:r w:rsidR="00A45D70" w:rsidRPr="00921B01">
        <w:rPr>
          <w:rFonts w:cstheme="minorHAnsi"/>
        </w:rPr>
        <w:tab/>
      </w:r>
      <w:r w:rsidRPr="00921B01">
        <w:rPr>
          <w:rFonts w:eastAsia="Times New Roman" w:cstheme="minorHAnsi"/>
          <w:i/>
          <w:iCs/>
          <w:sz w:val="20"/>
          <w:szCs w:val="20"/>
        </w:rPr>
        <w:t>UE RX victim from adjacent channel aggressor (FR1)</w:t>
      </w:r>
    </w:p>
    <w:p w14:paraId="6C8FD543"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agree 33 dB value (33 dB comes from ACS) as performance point in the RX model</w:t>
      </w:r>
    </w:p>
    <w:p w14:paraId="08435EA8"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If the blocker is higher than -25dBm, it is assumed it will result large receiver degradation and hence the RX will not correctly decode the data (100% packet loss)</w:t>
      </w:r>
    </w:p>
    <w:p w14:paraId="6ACCA26D"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2.1.2</w:t>
      </w:r>
      <w:r w:rsidR="00A45D70" w:rsidRPr="00921B01">
        <w:rPr>
          <w:rFonts w:cstheme="minorHAnsi"/>
        </w:rPr>
        <w:tab/>
      </w:r>
      <w:r w:rsidRPr="00921B01">
        <w:rPr>
          <w:rFonts w:eastAsia="Times New Roman" w:cstheme="minorHAnsi"/>
          <w:i/>
          <w:iCs/>
          <w:sz w:val="20"/>
          <w:szCs w:val="20"/>
        </w:rPr>
        <w:t>UE RX victim from adjacent channel aggressor (FR2-1)</w:t>
      </w:r>
    </w:p>
    <w:p w14:paraId="4E44F142"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u w:val="single"/>
        </w:rPr>
        <w:t xml:space="preserve"> </w:t>
      </w:r>
      <w:r w:rsidRPr="00921B01">
        <w:rPr>
          <w:rFonts w:eastAsia="Times New Roman" w:cstheme="minorHAnsi"/>
          <w:i/>
          <w:iCs/>
          <w:sz w:val="20"/>
          <w:szCs w:val="20"/>
        </w:rPr>
        <w:t>agree 23 dB value (from ACS) as performance point in the FR2-1 model</w:t>
      </w:r>
    </w:p>
    <w:p w14:paraId="2397FF36"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For FR2-1 Use the same method as in FR1, with changes being related to the parameters of ACS value, REFSENS, and maximum input power level </w:t>
      </w:r>
    </w:p>
    <w:p w14:paraId="7EA5454A"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2.2.2</w:t>
      </w:r>
      <w:r w:rsidR="00A45D70" w:rsidRPr="00921B01">
        <w:rPr>
          <w:rFonts w:cstheme="minorHAnsi"/>
        </w:rPr>
        <w:tab/>
      </w:r>
      <w:r w:rsidRPr="00921B01">
        <w:rPr>
          <w:rFonts w:eastAsia="Times New Roman" w:cstheme="minorHAnsi"/>
          <w:i/>
          <w:iCs/>
          <w:sz w:val="20"/>
          <w:szCs w:val="20"/>
        </w:rPr>
        <w:t xml:space="preserve">UE RX victim from co-channel aggressor (FR2-1) </w:t>
      </w:r>
    </w:p>
    <w:p w14:paraId="685663E7" w14:textId="262CB406" w:rsidR="00A45D70" w:rsidRPr="00921B01" w:rsidRDefault="0B302ED9" w:rsidP="2E9379FE">
      <w:pPr>
        <w:spacing w:line="254" w:lineRule="auto"/>
        <w:rPr>
          <w:rFonts w:cstheme="minorHAnsi"/>
        </w:rPr>
      </w:pPr>
      <w:r w:rsidRPr="00921B01">
        <w:rPr>
          <w:rFonts w:eastAsia="Times New Roman" w:cstheme="minorHAnsi"/>
          <w:b/>
          <w:bCs/>
          <w:sz w:val="20"/>
          <w:szCs w:val="20"/>
        </w:rPr>
        <w:t>Agreement:</w:t>
      </w:r>
      <w:r w:rsidRPr="00921B01">
        <w:rPr>
          <w:rFonts w:eastAsia="Times New Roman" w:cstheme="minorHAnsi"/>
          <w:i/>
          <w:iCs/>
          <w:sz w:val="20"/>
          <w:szCs w:val="20"/>
        </w:rPr>
        <w:t xml:space="preserve"> For FR2-1 use the same method as in co-channel RX victim for FR1. Note that the co-channel RX victim method for FR1 has not been agreed yet.</w:t>
      </w:r>
    </w:p>
    <w:p w14:paraId="5E2A0D8C" w14:textId="262CB406" w:rsidR="00A45D70" w:rsidRPr="00921B01" w:rsidRDefault="0B302ED9" w:rsidP="2E9379FE">
      <w:pPr>
        <w:spacing w:line="254" w:lineRule="auto"/>
        <w:rPr>
          <w:rFonts w:cstheme="minorHAnsi"/>
        </w:rPr>
      </w:pPr>
      <w:r w:rsidRPr="00921B01">
        <w:rPr>
          <w:rFonts w:eastAsia="Times New Roman" w:cstheme="minorHAnsi"/>
          <w:i/>
          <w:iCs/>
          <w:sz w:val="20"/>
          <w:szCs w:val="20"/>
        </w:rPr>
        <w:t xml:space="preserve"> </w:t>
      </w:r>
    </w:p>
    <w:p w14:paraId="544F5FC5" w14:textId="262CB406" w:rsidR="00A45D70" w:rsidRPr="00921B01" w:rsidRDefault="0B302ED9" w:rsidP="2E9379FE">
      <w:pPr>
        <w:pStyle w:val="a4"/>
        <w:numPr>
          <w:ilvl w:val="0"/>
          <w:numId w:val="27"/>
        </w:numPr>
        <w:rPr>
          <w:rFonts w:eastAsia="Calibri" w:cstheme="minorHAnsi"/>
          <w:b/>
          <w:bCs/>
          <w:sz w:val="24"/>
          <w:szCs w:val="24"/>
        </w:rPr>
      </w:pPr>
      <w:r w:rsidRPr="00921B01">
        <w:rPr>
          <w:rFonts w:eastAsia="Calibri" w:cstheme="minorHAnsi"/>
          <w:b/>
          <w:bCs/>
          <w:sz w:val="24"/>
          <w:szCs w:val="24"/>
        </w:rPr>
        <w:t>RAN4#105</w:t>
      </w:r>
    </w:p>
    <w:p w14:paraId="3AE938FA" w14:textId="262CB406" w:rsidR="00A45D70" w:rsidRPr="00921B01" w:rsidRDefault="0B302ED9" w:rsidP="2E9379FE">
      <w:pPr>
        <w:spacing w:line="257" w:lineRule="auto"/>
        <w:jc w:val="both"/>
        <w:rPr>
          <w:rFonts w:cstheme="minorHAnsi"/>
        </w:rPr>
      </w:pPr>
      <w:r w:rsidRPr="00921B01">
        <w:rPr>
          <w:rFonts w:eastAsia="Times New Roman" w:cstheme="minorHAnsi"/>
          <w:b/>
          <w:bCs/>
          <w:sz w:val="24"/>
          <w:szCs w:val="24"/>
        </w:rPr>
        <w:t>Issue 2-1-3.2: Receiver sub-band selectivity</w:t>
      </w:r>
    </w:p>
    <w:p w14:paraId="7F8E0C7F" w14:textId="262CB406" w:rsidR="00A45D70" w:rsidRPr="00921B01" w:rsidRDefault="0B302ED9" w:rsidP="2E9379FE">
      <w:pPr>
        <w:spacing w:line="257" w:lineRule="auto"/>
        <w:jc w:val="both"/>
        <w:rPr>
          <w:rFonts w:cstheme="minorHAnsi"/>
        </w:rPr>
      </w:pPr>
      <w:r w:rsidRPr="00921B01">
        <w:rPr>
          <w:rFonts w:eastAsia="Times New Roman" w:cstheme="minorHAnsi"/>
          <w:b/>
          <w:bCs/>
          <w:sz w:val="20"/>
          <w:szCs w:val="20"/>
        </w:rPr>
        <w:t>Proposed agreement:</w:t>
      </w:r>
    </w:p>
    <w:p w14:paraId="0C1CC7DD" w14:textId="262CB406" w:rsidR="00A45D70" w:rsidRPr="00921B01" w:rsidRDefault="0B302ED9" w:rsidP="2E9379FE">
      <w:pPr>
        <w:pStyle w:val="a4"/>
        <w:numPr>
          <w:ilvl w:val="0"/>
          <w:numId w:val="33"/>
        </w:numPr>
        <w:jc w:val="both"/>
        <w:rPr>
          <w:rFonts w:eastAsia="Times New Roman" w:cstheme="minorHAnsi"/>
          <w:i/>
          <w:iCs/>
          <w:sz w:val="20"/>
          <w:szCs w:val="20"/>
        </w:rPr>
      </w:pPr>
      <w:r w:rsidRPr="00921B01">
        <w:rPr>
          <w:rFonts w:eastAsia="Times New Roman" w:cstheme="minorHAnsi"/>
          <w:i/>
          <w:iCs/>
          <w:sz w:val="20"/>
          <w:szCs w:val="20"/>
        </w:rPr>
        <w:t>For legacy UE: For receiver sub-band selectivity, no rejection/attenuation due to RF/BB filtering is assumed on interference in adjacent sub-band as legacy UEs do not operate this way.</w:t>
      </w:r>
    </w:p>
    <w:p w14:paraId="1CDD4573" w14:textId="262CB406" w:rsidR="00A45D70" w:rsidRPr="00921B01" w:rsidRDefault="0B302ED9" w:rsidP="2E9379FE">
      <w:pPr>
        <w:pStyle w:val="a4"/>
        <w:numPr>
          <w:ilvl w:val="1"/>
          <w:numId w:val="15"/>
        </w:numPr>
        <w:jc w:val="both"/>
        <w:rPr>
          <w:rFonts w:eastAsia="Times New Roman" w:cstheme="minorHAnsi"/>
          <w:i/>
          <w:iCs/>
          <w:sz w:val="20"/>
          <w:szCs w:val="20"/>
        </w:rPr>
      </w:pPr>
      <w:r w:rsidRPr="00921B01">
        <w:rPr>
          <w:rFonts w:eastAsia="Times New Roman" w:cstheme="minorHAnsi"/>
          <w:i/>
          <w:iCs/>
          <w:sz w:val="20"/>
          <w:szCs w:val="20"/>
        </w:rPr>
        <w:t>Use typical model for UE selectivity value</w:t>
      </w:r>
    </w:p>
    <w:p w14:paraId="6CF5A499" w14:textId="262CB406" w:rsidR="00A45D70" w:rsidRPr="00921B01" w:rsidRDefault="0B302ED9" w:rsidP="2E9379FE">
      <w:pPr>
        <w:pStyle w:val="a4"/>
        <w:numPr>
          <w:ilvl w:val="1"/>
          <w:numId w:val="14"/>
        </w:numPr>
        <w:jc w:val="both"/>
        <w:rPr>
          <w:rFonts w:eastAsia="Times New Roman" w:cstheme="minorHAnsi"/>
          <w:i/>
          <w:iCs/>
          <w:sz w:val="20"/>
          <w:szCs w:val="20"/>
        </w:rPr>
      </w:pPr>
      <w:r w:rsidRPr="00921B01">
        <w:rPr>
          <w:rFonts w:eastAsia="Times New Roman" w:cstheme="minorHAnsi"/>
          <w:i/>
          <w:iCs/>
          <w:sz w:val="20"/>
          <w:szCs w:val="20"/>
        </w:rPr>
        <w:t>The selectivity and performance of the FFT is included in RAN4 study for co-channel case</w:t>
      </w:r>
    </w:p>
    <w:p w14:paraId="699D6159" w14:textId="262CB406" w:rsidR="00A45D70" w:rsidRPr="00921B01" w:rsidRDefault="0B302ED9" w:rsidP="2E9379FE">
      <w:pPr>
        <w:pStyle w:val="a4"/>
        <w:numPr>
          <w:ilvl w:val="2"/>
          <w:numId w:val="13"/>
        </w:numPr>
        <w:rPr>
          <w:rFonts w:eastAsia="Calibri" w:cstheme="minorHAnsi"/>
          <w:i/>
          <w:iCs/>
        </w:rPr>
      </w:pPr>
      <w:r w:rsidRPr="00921B01">
        <w:rPr>
          <w:rFonts w:eastAsia="Calibri" w:cstheme="minorHAnsi"/>
          <w:i/>
          <w:iCs/>
        </w:rPr>
        <w:t xml:space="preserve">FFS whether the adjacent channel case requires the selectivity and performance of the FFT. </w:t>
      </w:r>
    </w:p>
    <w:p w14:paraId="23CDB169" w14:textId="262CB406" w:rsidR="00A45D70" w:rsidRPr="00921B01" w:rsidRDefault="0B302ED9" w:rsidP="2E9379FE">
      <w:pPr>
        <w:pStyle w:val="a4"/>
        <w:numPr>
          <w:ilvl w:val="1"/>
          <w:numId w:val="12"/>
        </w:numPr>
        <w:jc w:val="both"/>
        <w:rPr>
          <w:rFonts w:eastAsia="Times New Roman" w:cstheme="minorHAnsi"/>
          <w:i/>
          <w:iCs/>
          <w:sz w:val="20"/>
          <w:szCs w:val="20"/>
        </w:rPr>
      </w:pPr>
      <w:r w:rsidRPr="00921B01">
        <w:rPr>
          <w:rFonts w:eastAsia="Times New Roman" w:cstheme="minorHAnsi"/>
          <w:i/>
          <w:iCs/>
          <w:sz w:val="20"/>
          <w:szCs w:val="20"/>
        </w:rPr>
        <w:t xml:space="preserve">RAN4 should consider interferer with timing or frequency offset or both </w:t>
      </w:r>
      <w:proofErr w:type="spellStart"/>
      <w:r w:rsidRPr="00921B01">
        <w:rPr>
          <w:rFonts w:eastAsia="Times New Roman" w:cstheme="minorHAnsi"/>
          <w:i/>
          <w:iCs/>
          <w:sz w:val="20"/>
          <w:szCs w:val="20"/>
        </w:rPr>
        <w:t>w.r.t.</w:t>
      </w:r>
      <w:proofErr w:type="spellEnd"/>
      <w:r w:rsidRPr="00921B01">
        <w:rPr>
          <w:rFonts w:eastAsia="Times New Roman" w:cstheme="minorHAnsi"/>
          <w:i/>
          <w:iCs/>
          <w:sz w:val="20"/>
          <w:szCs w:val="20"/>
        </w:rPr>
        <w:t xml:space="preserve"> the desired signal for the co-channel case</w:t>
      </w:r>
    </w:p>
    <w:p w14:paraId="2CC51C2F" w14:textId="262CB406" w:rsidR="00A45D70" w:rsidRPr="00921B01" w:rsidRDefault="0B302ED9" w:rsidP="2E9379FE">
      <w:pPr>
        <w:pStyle w:val="a4"/>
        <w:numPr>
          <w:ilvl w:val="2"/>
          <w:numId w:val="13"/>
        </w:numPr>
        <w:rPr>
          <w:rFonts w:eastAsia="Calibri" w:cstheme="minorHAnsi"/>
          <w:i/>
          <w:iCs/>
        </w:rPr>
      </w:pPr>
      <w:r w:rsidRPr="00921B01">
        <w:rPr>
          <w:rFonts w:eastAsia="Calibri" w:cstheme="minorHAnsi"/>
          <w:i/>
          <w:iCs/>
        </w:rPr>
        <w:t>FFS whether this applies to the adjacent channel case</w:t>
      </w:r>
    </w:p>
    <w:p w14:paraId="5DA2A087" w14:textId="262CB406" w:rsidR="00A45D70" w:rsidRPr="00921B01" w:rsidRDefault="0B302ED9" w:rsidP="2E9379FE">
      <w:pPr>
        <w:pStyle w:val="a4"/>
        <w:numPr>
          <w:ilvl w:val="0"/>
          <w:numId w:val="33"/>
        </w:numPr>
        <w:jc w:val="both"/>
        <w:rPr>
          <w:rFonts w:eastAsia="Times New Roman" w:cstheme="minorHAnsi"/>
          <w:i/>
          <w:iCs/>
          <w:sz w:val="20"/>
          <w:szCs w:val="20"/>
        </w:rPr>
      </w:pPr>
      <w:r w:rsidRPr="00921B01">
        <w:rPr>
          <w:rFonts w:eastAsia="Times New Roman" w:cstheme="minorHAnsi"/>
          <w:i/>
          <w:iCs/>
          <w:sz w:val="20"/>
          <w:szCs w:val="20"/>
        </w:rPr>
        <w:t>For new SBFD capable UE, further analysis of the possibility to improve selectivity performance under the assumption that UE channel bandwidth not equal the sub-band bandwidth.</w:t>
      </w:r>
    </w:p>
    <w:p w14:paraId="55D47D8A" w14:textId="262CB406" w:rsidR="00A45D70" w:rsidRPr="00921B01" w:rsidRDefault="0B302ED9" w:rsidP="2E9379FE">
      <w:pPr>
        <w:pStyle w:val="a4"/>
        <w:numPr>
          <w:ilvl w:val="0"/>
          <w:numId w:val="33"/>
        </w:numPr>
        <w:jc w:val="both"/>
        <w:rPr>
          <w:rFonts w:eastAsia="Times New Roman" w:cstheme="minorHAnsi"/>
          <w:i/>
          <w:iCs/>
          <w:sz w:val="20"/>
          <w:szCs w:val="20"/>
        </w:rPr>
      </w:pPr>
      <w:r w:rsidRPr="00921B01">
        <w:rPr>
          <w:rFonts w:eastAsia="Times New Roman" w:cstheme="minorHAnsi"/>
          <w:i/>
          <w:iCs/>
          <w:sz w:val="20"/>
          <w:szCs w:val="20"/>
        </w:rPr>
        <w:t>Companies come next meeting with technical proposals on the level of interference from an UL sub-band co-channel interferer to the UE DL sub-band. So far companies have proposed:</w:t>
      </w:r>
    </w:p>
    <w:p w14:paraId="1BC8D070" w14:textId="262CB406" w:rsidR="00A45D70" w:rsidRPr="00921B01" w:rsidRDefault="0B302ED9" w:rsidP="2E9379FE">
      <w:pPr>
        <w:pStyle w:val="a4"/>
        <w:numPr>
          <w:ilvl w:val="1"/>
          <w:numId w:val="10"/>
        </w:numPr>
        <w:jc w:val="both"/>
        <w:rPr>
          <w:rFonts w:eastAsia="Times New Roman" w:cstheme="minorHAnsi"/>
          <w:i/>
          <w:iCs/>
          <w:sz w:val="20"/>
          <w:szCs w:val="20"/>
        </w:rPr>
      </w:pPr>
      <w:r w:rsidRPr="00921B01">
        <w:rPr>
          <w:rFonts w:eastAsia="Times New Roman" w:cstheme="minorHAnsi"/>
          <w:i/>
          <w:iCs/>
          <w:sz w:val="20"/>
          <w:szCs w:val="20"/>
        </w:rPr>
        <w:t>33 dB at the ADC output (for FR1) based on typical performance. FFS for FR2-1</w:t>
      </w:r>
    </w:p>
    <w:p w14:paraId="79EB4E39" w14:textId="262CB406" w:rsidR="00A45D70" w:rsidRPr="00921B01" w:rsidRDefault="0B302ED9" w:rsidP="2E9379FE">
      <w:pPr>
        <w:pStyle w:val="a4"/>
        <w:numPr>
          <w:ilvl w:val="1"/>
          <w:numId w:val="9"/>
        </w:numPr>
        <w:jc w:val="both"/>
        <w:rPr>
          <w:rFonts w:eastAsia="Times New Roman" w:cstheme="minorHAnsi"/>
          <w:i/>
          <w:iCs/>
          <w:sz w:val="20"/>
          <w:szCs w:val="20"/>
        </w:rPr>
      </w:pPr>
      <w:r w:rsidRPr="00921B01">
        <w:rPr>
          <w:rFonts w:eastAsia="Times New Roman" w:cstheme="minorHAnsi"/>
          <w:i/>
          <w:iCs/>
          <w:sz w:val="20"/>
          <w:szCs w:val="20"/>
        </w:rPr>
        <w:t>25 dB (for FR1 and FR2-1)</w:t>
      </w:r>
    </w:p>
    <w:p w14:paraId="428A6F8A" w14:textId="262CB406" w:rsidR="00A45D70" w:rsidRPr="00921B01" w:rsidRDefault="0B302ED9" w:rsidP="2E9379FE">
      <w:pPr>
        <w:pStyle w:val="a4"/>
        <w:numPr>
          <w:ilvl w:val="1"/>
          <w:numId w:val="8"/>
        </w:numPr>
        <w:jc w:val="both"/>
        <w:rPr>
          <w:rFonts w:eastAsia="Times New Roman" w:cstheme="minorHAnsi"/>
          <w:i/>
          <w:iCs/>
          <w:sz w:val="20"/>
          <w:szCs w:val="20"/>
        </w:rPr>
      </w:pPr>
      <w:r w:rsidRPr="00921B01">
        <w:rPr>
          <w:rFonts w:eastAsia="Times New Roman" w:cstheme="minorHAnsi"/>
          <w:i/>
          <w:iCs/>
          <w:sz w:val="20"/>
          <w:szCs w:val="20"/>
        </w:rPr>
        <w:t>0 dB (for FR1 and FR2-1)</w:t>
      </w:r>
    </w:p>
    <w:p w14:paraId="7447C297" w14:textId="262CB406" w:rsidR="00A45D70" w:rsidRPr="00921B01" w:rsidRDefault="0B302ED9" w:rsidP="2E9379FE">
      <w:pPr>
        <w:pStyle w:val="a4"/>
        <w:numPr>
          <w:ilvl w:val="1"/>
          <w:numId w:val="7"/>
        </w:numPr>
        <w:jc w:val="both"/>
        <w:rPr>
          <w:rFonts w:eastAsia="Times New Roman" w:cstheme="minorHAnsi"/>
          <w:sz w:val="20"/>
          <w:szCs w:val="20"/>
        </w:rPr>
      </w:pPr>
      <w:r w:rsidRPr="00921B01">
        <w:rPr>
          <w:rFonts w:eastAsia="Times New Roman" w:cstheme="minorHAnsi"/>
          <w:sz w:val="20"/>
          <w:szCs w:val="20"/>
        </w:rPr>
        <w:t>Other values not precluded for discussion next meeting.</w:t>
      </w:r>
    </w:p>
    <w:p w14:paraId="3D531A77" w14:textId="262CB406" w:rsidR="00A45D70" w:rsidRPr="00921B01" w:rsidRDefault="0B302ED9" w:rsidP="2E9379FE">
      <w:pPr>
        <w:spacing w:line="257" w:lineRule="auto"/>
        <w:jc w:val="both"/>
        <w:rPr>
          <w:rFonts w:cstheme="minorHAnsi"/>
        </w:rPr>
      </w:pPr>
      <w:r w:rsidRPr="00921B01">
        <w:rPr>
          <w:rFonts w:eastAsia="Times New Roman" w:cstheme="minorHAnsi"/>
          <w:sz w:val="20"/>
          <w:szCs w:val="20"/>
        </w:rPr>
        <w:t xml:space="preserve"> </w:t>
      </w:r>
    </w:p>
    <w:p w14:paraId="4AE7AD64" w14:textId="262CB406" w:rsidR="00A45D70" w:rsidRPr="00921B01" w:rsidRDefault="0B302ED9" w:rsidP="2E9379FE">
      <w:pPr>
        <w:pStyle w:val="a4"/>
        <w:numPr>
          <w:ilvl w:val="0"/>
          <w:numId w:val="27"/>
        </w:numPr>
        <w:rPr>
          <w:rFonts w:eastAsia="Calibri" w:cstheme="minorHAnsi"/>
          <w:b/>
          <w:bCs/>
          <w:sz w:val="24"/>
          <w:szCs w:val="24"/>
        </w:rPr>
      </w:pPr>
      <w:r w:rsidRPr="00921B01">
        <w:rPr>
          <w:rFonts w:eastAsia="Calibri" w:cstheme="minorHAnsi"/>
          <w:b/>
          <w:bCs/>
          <w:sz w:val="24"/>
          <w:szCs w:val="24"/>
        </w:rPr>
        <w:t>RAN4#106</w:t>
      </w:r>
    </w:p>
    <w:p w14:paraId="4055CA29" w14:textId="262CB406" w:rsidR="00A45D70" w:rsidRPr="00921B01" w:rsidRDefault="0B302ED9" w:rsidP="2E9379FE">
      <w:pPr>
        <w:spacing w:line="257" w:lineRule="auto"/>
        <w:rPr>
          <w:rFonts w:cstheme="minorHAnsi"/>
        </w:rPr>
      </w:pPr>
      <w:r w:rsidRPr="00921B01">
        <w:rPr>
          <w:rFonts w:eastAsia="Times New Roman" w:cstheme="minorHAnsi"/>
          <w:b/>
          <w:bCs/>
          <w:sz w:val="20"/>
          <w:szCs w:val="20"/>
        </w:rPr>
        <w:t>Sub-band selectivity</w:t>
      </w:r>
    </w:p>
    <w:p w14:paraId="127DC93B" w14:textId="262CB406" w:rsidR="00A45D70" w:rsidRPr="00921B01" w:rsidRDefault="0B302ED9" w:rsidP="2E9379FE">
      <w:pPr>
        <w:spacing w:line="257" w:lineRule="auto"/>
        <w:rPr>
          <w:rFonts w:cstheme="minorHAnsi"/>
        </w:rPr>
      </w:pPr>
      <w:r w:rsidRPr="00921B01">
        <w:rPr>
          <w:rFonts w:eastAsia="Times New Roman" w:cstheme="minorHAnsi"/>
          <w:b/>
          <w:bCs/>
          <w:sz w:val="20"/>
          <w:szCs w:val="20"/>
        </w:rPr>
        <w:t xml:space="preserve">Agreement: </w:t>
      </w:r>
    </w:p>
    <w:p w14:paraId="5966B128" w14:textId="262CB406" w:rsidR="00A45D70" w:rsidRPr="00921B01" w:rsidRDefault="0B302ED9" w:rsidP="2E9379FE">
      <w:pPr>
        <w:pStyle w:val="a4"/>
        <w:numPr>
          <w:ilvl w:val="0"/>
          <w:numId w:val="28"/>
        </w:numPr>
        <w:rPr>
          <w:rFonts w:eastAsia="Calibri" w:cstheme="minorHAnsi"/>
          <w:i/>
          <w:iCs/>
        </w:rPr>
      </w:pPr>
      <w:r w:rsidRPr="00921B01">
        <w:rPr>
          <w:rFonts w:eastAsia="Calibri" w:cstheme="minorHAnsi"/>
          <w:i/>
          <w:iCs/>
        </w:rPr>
        <w:lastRenderedPageBreak/>
        <w:t>The definition of sub-band/in-channel selectivity for SBFD feasibility study purpose</w:t>
      </w:r>
    </w:p>
    <w:p w14:paraId="5ADFEED1" w14:textId="262CB406" w:rsidR="00A45D70" w:rsidRPr="00921B01" w:rsidRDefault="0B302ED9" w:rsidP="2E9379FE">
      <w:pPr>
        <w:pStyle w:val="a4"/>
        <w:numPr>
          <w:ilvl w:val="1"/>
          <w:numId w:val="28"/>
        </w:numPr>
        <w:rPr>
          <w:rFonts w:eastAsia="Calibri" w:cstheme="minorHAnsi"/>
          <w:i/>
          <w:iCs/>
        </w:rPr>
      </w:pPr>
      <w:r w:rsidRPr="00921B01">
        <w:rPr>
          <w:rFonts w:eastAsia="Calibri" w:cstheme="minorHAnsi"/>
          <w:i/>
          <w:iCs/>
        </w:rPr>
        <w:t xml:space="preserve">For one input level and one jammer level, Sub-band/In channel selectivity is the ratio of the receive power on the assigned sub-band to the receive power on the adjacent sub-band after FFT operation. </w:t>
      </w:r>
    </w:p>
    <w:p w14:paraId="62D53881" w14:textId="262CB406" w:rsidR="00A45D70" w:rsidRPr="00921B01" w:rsidRDefault="0B302ED9" w:rsidP="2E9379FE">
      <w:pPr>
        <w:pStyle w:val="a4"/>
        <w:numPr>
          <w:ilvl w:val="2"/>
          <w:numId w:val="28"/>
        </w:numPr>
        <w:rPr>
          <w:rFonts w:eastAsia="Calibri" w:cstheme="minorHAnsi"/>
          <w:i/>
          <w:iCs/>
        </w:rPr>
      </w:pPr>
      <w:r w:rsidRPr="00921B01">
        <w:rPr>
          <w:rFonts w:eastAsia="Calibri" w:cstheme="minorHAnsi"/>
          <w:i/>
          <w:iCs/>
        </w:rPr>
        <w:t>For legacy UE, no sub-band filtering considered</w:t>
      </w:r>
    </w:p>
    <w:p w14:paraId="5FBA62BE" w14:textId="262CB406" w:rsidR="00A45D70" w:rsidRPr="00921B01" w:rsidRDefault="0B302ED9" w:rsidP="2E9379FE">
      <w:pPr>
        <w:pStyle w:val="a4"/>
        <w:numPr>
          <w:ilvl w:val="2"/>
          <w:numId w:val="28"/>
        </w:numPr>
        <w:rPr>
          <w:rFonts w:eastAsia="Calibri" w:cstheme="minorHAnsi"/>
          <w:i/>
          <w:iCs/>
        </w:rPr>
      </w:pPr>
      <w:r w:rsidRPr="00921B01">
        <w:rPr>
          <w:rFonts w:eastAsia="Calibri" w:cstheme="minorHAnsi"/>
          <w:i/>
          <w:iCs/>
        </w:rPr>
        <w:t xml:space="preserve">For new SBFD aware UE: FFS whether sub-filtering can be considered or not </w:t>
      </w:r>
    </w:p>
    <w:p w14:paraId="6A9B9970" w14:textId="262CB406" w:rsidR="00A45D70" w:rsidRPr="00921B01" w:rsidRDefault="0B302ED9" w:rsidP="2E9379FE">
      <w:pPr>
        <w:pStyle w:val="a4"/>
        <w:numPr>
          <w:ilvl w:val="0"/>
          <w:numId w:val="28"/>
        </w:numPr>
        <w:rPr>
          <w:rFonts w:eastAsia="Calibri" w:cstheme="minorHAnsi"/>
          <w:i/>
          <w:iCs/>
        </w:rPr>
      </w:pPr>
      <w:r w:rsidRPr="00921B01">
        <w:rPr>
          <w:rFonts w:eastAsia="Calibri" w:cstheme="minorHAnsi"/>
          <w:i/>
          <w:iCs/>
        </w:rPr>
        <w:t>For FR1 companies are encouraged to further discuss values in the range of [20 to 33 dB] for sub-band/in-channel selectivity with accompanying clarification as how they calculate DL subband interference based on one value from this range and what guard band is assumed.</w:t>
      </w:r>
    </w:p>
    <w:p w14:paraId="323AC9E3" w14:textId="262CB406" w:rsidR="00A45D70" w:rsidRPr="00921B01" w:rsidRDefault="0B302ED9" w:rsidP="2E9379FE">
      <w:pPr>
        <w:spacing w:line="257" w:lineRule="auto"/>
        <w:rPr>
          <w:rFonts w:cstheme="minorHAnsi"/>
        </w:rPr>
      </w:pPr>
      <w:r w:rsidRPr="00921B01">
        <w:rPr>
          <w:rFonts w:eastAsia="Times New Roman" w:cstheme="minorHAnsi"/>
          <w:i/>
          <w:iCs/>
          <w:sz w:val="20"/>
          <w:szCs w:val="20"/>
        </w:rPr>
        <w:t>For FR2-1 companies are encouraged to further discuss values in the range of [20 to 34 dB] for sub-band/in-channel selectivity with accompanying clarification as how they calculate DL subband interference based on one value from this range and what guard band is assumed.</w:t>
      </w:r>
    </w:p>
    <w:bookmarkEnd w:id="19"/>
    <w:p w14:paraId="5674F9E5" w14:textId="262CB406" w:rsidR="00A45D70" w:rsidRDefault="00A45D70">
      <w:r>
        <w:br/>
      </w:r>
    </w:p>
    <w:p w14:paraId="5FD19E76" w14:textId="77777777" w:rsidR="00A45D70" w:rsidRDefault="00A45D70" w:rsidP="2E9379FE"/>
    <w:sectPr w:rsidR="00A45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2862" w14:textId="77777777" w:rsidR="00A20162" w:rsidRDefault="00A20162" w:rsidP="003E3A63">
      <w:pPr>
        <w:spacing w:after="0" w:line="240" w:lineRule="auto"/>
      </w:pPr>
      <w:r>
        <w:separator/>
      </w:r>
    </w:p>
  </w:endnote>
  <w:endnote w:type="continuationSeparator" w:id="0">
    <w:p w14:paraId="4803A521" w14:textId="77777777" w:rsidR="00A20162" w:rsidRDefault="00A20162" w:rsidP="003E3A63">
      <w:pPr>
        <w:spacing w:after="0" w:line="240" w:lineRule="auto"/>
      </w:pPr>
      <w:r>
        <w:continuationSeparator/>
      </w:r>
    </w:p>
  </w:endnote>
  <w:endnote w:type="continuationNotice" w:id="1">
    <w:p w14:paraId="6DEE261B" w14:textId="77777777" w:rsidR="00A20162" w:rsidRDefault="00A201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4B833" w14:textId="77777777" w:rsidR="00A20162" w:rsidRDefault="00A20162" w:rsidP="003E3A63">
      <w:pPr>
        <w:spacing w:after="0" w:line="240" w:lineRule="auto"/>
      </w:pPr>
      <w:r>
        <w:separator/>
      </w:r>
    </w:p>
  </w:footnote>
  <w:footnote w:type="continuationSeparator" w:id="0">
    <w:p w14:paraId="35441021" w14:textId="77777777" w:rsidR="00A20162" w:rsidRDefault="00A20162" w:rsidP="003E3A63">
      <w:pPr>
        <w:spacing w:after="0" w:line="240" w:lineRule="auto"/>
      </w:pPr>
      <w:r>
        <w:continuationSeparator/>
      </w:r>
    </w:p>
  </w:footnote>
  <w:footnote w:type="continuationNotice" w:id="1">
    <w:p w14:paraId="17FFFA70" w14:textId="77777777" w:rsidR="00A20162" w:rsidRDefault="00A201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45F1B19"/>
    <w:multiLevelType w:val="hybridMultilevel"/>
    <w:tmpl w:val="04441DC4"/>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4"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5"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9"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32"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4"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5"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34"/>
  </w:num>
  <w:num w:numId="4">
    <w:abstractNumId w:val="15"/>
  </w:num>
  <w:num w:numId="5">
    <w:abstractNumId w:val="5"/>
  </w:num>
  <w:num w:numId="6">
    <w:abstractNumId w:val="12"/>
  </w:num>
  <w:num w:numId="7">
    <w:abstractNumId w:val="17"/>
  </w:num>
  <w:num w:numId="8">
    <w:abstractNumId w:val="25"/>
  </w:num>
  <w:num w:numId="9">
    <w:abstractNumId w:val="26"/>
  </w:num>
  <w:num w:numId="10">
    <w:abstractNumId w:val="27"/>
  </w:num>
  <w:num w:numId="11">
    <w:abstractNumId w:val="0"/>
  </w:num>
  <w:num w:numId="12">
    <w:abstractNumId w:val="35"/>
  </w:num>
  <w:num w:numId="13">
    <w:abstractNumId w:val="10"/>
  </w:num>
  <w:num w:numId="14">
    <w:abstractNumId w:val="19"/>
  </w:num>
  <w:num w:numId="15">
    <w:abstractNumId w:val="1"/>
  </w:num>
  <w:num w:numId="16">
    <w:abstractNumId w:val="16"/>
  </w:num>
  <w:num w:numId="17">
    <w:abstractNumId w:val="36"/>
  </w:num>
  <w:num w:numId="18">
    <w:abstractNumId w:val="14"/>
  </w:num>
  <w:num w:numId="19">
    <w:abstractNumId w:val="8"/>
  </w:num>
  <w:num w:numId="20">
    <w:abstractNumId w:val="32"/>
  </w:num>
  <w:num w:numId="21">
    <w:abstractNumId w:val="20"/>
  </w:num>
  <w:num w:numId="22">
    <w:abstractNumId w:val="23"/>
  </w:num>
  <w:num w:numId="23">
    <w:abstractNumId w:val="11"/>
  </w:num>
  <w:num w:numId="24">
    <w:abstractNumId w:val="7"/>
  </w:num>
  <w:num w:numId="25">
    <w:abstractNumId w:val="9"/>
  </w:num>
  <w:num w:numId="26">
    <w:abstractNumId w:val="24"/>
  </w:num>
  <w:num w:numId="27">
    <w:abstractNumId w:val="4"/>
  </w:num>
  <w:num w:numId="28">
    <w:abstractNumId w:val="13"/>
  </w:num>
  <w:num w:numId="29">
    <w:abstractNumId w:val="28"/>
  </w:num>
  <w:num w:numId="30">
    <w:abstractNumId w:val="3"/>
  </w:num>
  <w:num w:numId="31">
    <w:abstractNumId w:val="2"/>
  </w:num>
  <w:num w:numId="32">
    <w:abstractNumId w:val="21"/>
  </w:num>
  <w:num w:numId="33">
    <w:abstractNumId w:val="6"/>
  </w:num>
  <w:num w:numId="34">
    <w:abstractNumId w:val="29"/>
  </w:num>
  <w:num w:numId="35">
    <w:abstractNumId w:val="3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54A1B"/>
    <w:rsid w:val="0006441C"/>
    <w:rsid w:val="00162575"/>
    <w:rsid w:val="00183DC8"/>
    <w:rsid w:val="00185CC2"/>
    <w:rsid w:val="001A06AE"/>
    <w:rsid w:val="001E18E0"/>
    <w:rsid w:val="00231516"/>
    <w:rsid w:val="0026217B"/>
    <w:rsid w:val="002624E9"/>
    <w:rsid w:val="0027005B"/>
    <w:rsid w:val="002B0E92"/>
    <w:rsid w:val="003B2250"/>
    <w:rsid w:val="003C19E7"/>
    <w:rsid w:val="003E3A63"/>
    <w:rsid w:val="003E5669"/>
    <w:rsid w:val="004B4C27"/>
    <w:rsid w:val="004E01DB"/>
    <w:rsid w:val="004E0BE9"/>
    <w:rsid w:val="005365E6"/>
    <w:rsid w:val="005B78FC"/>
    <w:rsid w:val="005D2D0D"/>
    <w:rsid w:val="005E6693"/>
    <w:rsid w:val="00603AF4"/>
    <w:rsid w:val="00627C3D"/>
    <w:rsid w:val="00644231"/>
    <w:rsid w:val="00654DCB"/>
    <w:rsid w:val="007102E2"/>
    <w:rsid w:val="007902B2"/>
    <w:rsid w:val="007B4C55"/>
    <w:rsid w:val="00826FF2"/>
    <w:rsid w:val="008438E6"/>
    <w:rsid w:val="00875A39"/>
    <w:rsid w:val="00895676"/>
    <w:rsid w:val="008E15E4"/>
    <w:rsid w:val="00921B01"/>
    <w:rsid w:val="00974F8E"/>
    <w:rsid w:val="00981C6F"/>
    <w:rsid w:val="00A20162"/>
    <w:rsid w:val="00A45D70"/>
    <w:rsid w:val="00AF017B"/>
    <w:rsid w:val="00B501F0"/>
    <w:rsid w:val="00B51656"/>
    <w:rsid w:val="00B8120F"/>
    <w:rsid w:val="00C23B95"/>
    <w:rsid w:val="00C318B6"/>
    <w:rsid w:val="00C32AD3"/>
    <w:rsid w:val="00CC4C4A"/>
    <w:rsid w:val="00CF361C"/>
    <w:rsid w:val="00D62477"/>
    <w:rsid w:val="00DE1F0F"/>
    <w:rsid w:val="00E36FB6"/>
    <w:rsid w:val="00E95DA9"/>
    <w:rsid w:val="00ED23F9"/>
    <w:rsid w:val="00EF3CA2"/>
    <w:rsid w:val="00F062F5"/>
    <w:rsid w:val="00F15747"/>
    <w:rsid w:val="00FF6B95"/>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pPr>
      <w:ind w:left="720"/>
      <w:contextualSpacing/>
    </w:pPr>
  </w:style>
  <w:style w:type="paragraph" w:styleId="a5">
    <w:name w:val="header"/>
    <w:basedOn w:val="a"/>
    <w:link w:val="a6"/>
    <w:uiPriority w:val="99"/>
    <w:unhideWhenUsed/>
    <w:rsid w:val="007B4C55"/>
    <w:pPr>
      <w:tabs>
        <w:tab w:val="center" w:pos="4680"/>
        <w:tab w:val="right" w:pos="9360"/>
      </w:tabs>
      <w:spacing w:after="0" w:line="240" w:lineRule="auto"/>
    </w:pPr>
  </w:style>
  <w:style w:type="character" w:customStyle="1" w:styleId="a6">
    <w:name w:val="页眉 字符"/>
    <w:basedOn w:val="a0"/>
    <w:link w:val="a5"/>
    <w:uiPriority w:val="99"/>
    <w:rsid w:val="007B4C55"/>
  </w:style>
  <w:style w:type="paragraph" w:styleId="a7">
    <w:name w:val="footer"/>
    <w:basedOn w:val="a"/>
    <w:link w:val="a8"/>
    <w:uiPriority w:val="99"/>
    <w:unhideWhenUsed/>
    <w:rsid w:val="007B4C55"/>
    <w:pPr>
      <w:tabs>
        <w:tab w:val="center" w:pos="4680"/>
        <w:tab w:val="right" w:pos="9360"/>
      </w:tabs>
      <w:spacing w:after="0" w:line="240" w:lineRule="auto"/>
    </w:pPr>
  </w:style>
  <w:style w:type="character" w:customStyle="1" w:styleId="a8">
    <w:name w:val="页脚 字符"/>
    <w:basedOn w:val="a0"/>
    <w:link w:val="a7"/>
    <w:uiPriority w:val="99"/>
    <w:rsid w:val="007B4C55"/>
  </w:style>
  <w:style w:type="paragraph" w:styleId="a9">
    <w:name w:val="Revision"/>
    <w:hidden/>
    <w:uiPriority w:val="99"/>
    <w:semiHidden/>
    <w:rsid w:val="004B4C27"/>
    <w:pPr>
      <w:spacing w:after="0" w:line="240" w:lineRule="auto"/>
    </w:pPr>
  </w:style>
  <w:style w:type="character" w:styleId="aa">
    <w:name w:val="annotation reference"/>
    <w:basedOn w:val="a0"/>
    <w:uiPriority w:val="99"/>
    <w:semiHidden/>
    <w:unhideWhenUsed/>
    <w:rsid w:val="00CF361C"/>
    <w:rPr>
      <w:sz w:val="16"/>
      <w:szCs w:val="16"/>
    </w:rPr>
  </w:style>
  <w:style w:type="paragraph" w:styleId="ab">
    <w:name w:val="annotation text"/>
    <w:basedOn w:val="a"/>
    <w:link w:val="ac"/>
    <w:uiPriority w:val="99"/>
    <w:semiHidden/>
    <w:unhideWhenUsed/>
    <w:rsid w:val="00CF361C"/>
    <w:pPr>
      <w:spacing w:line="240" w:lineRule="auto"/>
    </w:pPr>
    <w:rPr>
      <w:sz w:val="20"/>
      <w:szCs w:val="20"/>
    </w:rPr>
  </w:style>
  <w:style w:type="character" w:customStyle="1" w:styleId="ac">
    <w:name w:val="批注文字 字符"/>
    <w:basedOn w:val="a0"/>
    <w:link w:val="ab"/>
    <w:uiPriority w:val="99"/>
    <w:semiHidden/>
    <w:rsid w:val="00CF361C"/>
    <w:rPr>
      <w:sz w:val="20"/>
      <w:szCs w:val="20"/>
    </w:rPr>
  </w:style>
  <w:style w:type="paragraph" w:styleId="ad">
    <w:name w:val="annotation subject"/>
    <w:basedOn w:val="ab"/>
    <w:next w:val="ab"/>
    <w:link w:val="ae"/>
    <w:uiPriority w:val="99"/>
    <w:semiHidden/>
    <w:unhideWhenUsed/>
    <w:rsid w:val="00CF361C"/>
    <w:rPr>
      <w:b/>
      <w:bCs/>
    </w:rPr>
  </w:style>
  <w:style w:type="character" w:customStyle="1" w:styleId="ae">
    <w:name w:val="批注主题 字符"/>
    <w:basedOn w:val="ac"/>
    <w:link w:val="ad"/>
    <w:uiPriority w:val="99"/>
    <w:semiHidden/>
    <w:rsid w:val="00CF361C"/>
    <w:rPr>
      <w:b/>
      <w:bCs/>
      <w:sz w:val="20"/>
      <w:szCs w:val="20"/>
    </w:rPr>
  </w:style>
  <w:style w:type="paragraph" w:styleId="af">
    <w:name w:val="Balloon Text"/>
    <w:basedOn w:val="a"/>
    <w:link w:val="af0"/>
    <w:uiPriority w:val="99"/>
    <w:semiHidden/>
    <w:unhideWhenUsed/>
    <w:rsid w:val="0006441C"/>
    <w:pPr>
      <w:spacing w:after="0" w:line="240" w:lineRule="auto"/>
    </w:pPr>
    <w:rPr>
      <w:sz w:val="18"/>
      <w:szCs w:val="18"/>
    </w:rPr>
  </w:style>
  <w:style w:type="character" w:customStyle="1" w:styleId="af0">
    <w:name w:val="批注框文本 字符"/>
    <w:basedOn w:val="a0"/>
    <w:link w:val="af"/>
    <w:uiPriority w:val="99"/>
    <w:semiHidden/>
    <w:rsid w:val="000644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2130</Words>
  <Characters>12144</Characters>
  <Application>Microsoft Office Word</Application>
  <DocSecurity>0</DocSecurity>
  <Lines>101</Lines>
  <Paragraphs>28</Paragraphs>
  <ScaleCrop>false</ScaleCrop>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2023-04-25T16:27:00Z</dcterms:created>
  <dcterms:modified xsi:type="dcterms:W3CDTF">2023-05-15T12:42:00Z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